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B6A" w:rsidRDefault="00DD3FD4">
      <w:pPr>
        <w:pStyle w:val="Standard"/>
        <w:spacing w:line="240" w:lineRule="auto"/>
        <w:jc w:val="righ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940000" cy="4821120"/>
            <wp:effectExtent l="0" t="0" r="3600" b="0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48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/>
          <w:sz w:val="24"/>
          <w:szCs w:val="24"/>
        </w:rPr>
        <w:t>Приложение 3 к извещению</w:t>
      </w:r>
    </w:p>
    <w:p w:rsidR="00FB2B6A" w:rsidRDefault="00DD3FD4">
      <w:pPr>
        <w:pStyle w:val="Standard"/>
        <w:ind w:firstLine="720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Сведения из информационной системы обеспечения градостроительной деятельности (ИСОГД) для земельных участков с кадастровыми номерами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45:08:022001:1966, 45:08:022001:1968, расположенного по адресу: Курганская область, Кетовский район,   с. Садовое, ул. Тимирязева, 4А, ул. Тимирязева, 4 сообщаем:</w:t>
      </w:r>
    </w:p>
    <w:p w:rsidR="00FB2B6A" w:rsidRDefault="00FB2B6A">
      <w:pPr>
        <w:pStyle w:val="Standard"/>
        <w:spacing w:after="0" w:line="240" w:lineRule="auto"/>
        <w:jc w:val="both"/>
      </w:pP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Установлен градостроительный регламент.  </w:t>
      </w: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Земельный участок наход</w:t>
      </w:r>
      <w:r>
        <w:rPr>
          <w:rFonts w:ascii="Times New Roman" w:eastAsia="Times New Roman" w:hAnsi="Times New Roman" w:cs="Times New Roman"/>
          <w:sz w:val="24"/>
          <w:szCs w:val="24"/>
        </w:rPr>
        <w:t>ится в территориальной зоне Ж-3.</w:t>
      </w:r>
    </w:p>
    <w:p w:rsidR="00FB2B6A" w:rsidRDefault="00FB2B6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Из правил землепользования и застройки Садовского сельсовета Кетовского района Курганской области:</w:t>
      </w:r>
    </w:p>
    <w:p w:rsidR="00FB2B6A" w:rsidRDefault="00DD3FD4">
      <w:pPr>
        <w:pStyle w:val="Standard"/>
        <w:keepNext/>
        <w:spacing w:before="160" w:after="160" w:line="240" w:lineRule="auto"/>
        <w:ind w:firstLine="709"/>
        <w:jc w:val="both"/>
        <w:outlineLvl w:val="2"/>
      </w:pPr>
      <w:bookmarkStart w:id="1" w:name="_Toc328648675"/>
      <w:r>
        <w:rPr>
          <w:rFonts w:ascii="Times New Roman" w:eastAsia="Times New Roman" w:hAnsi="Times New Roman" w:cs="Times New Roman"/>
          <w:b/>
          <w:bCs/>
          <w:sz w:val="24"/>
          <w:szCs w:val="26"/>
          <w:lang w:eastAsia="en-US"/>
        </w:rPr>
        <w:t>Статья 71. Градостроительные регламенты. Жилые зоны</w:t>
      </w:r>
      <w:bookmarkEnd w:id="1"/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 xml:space="preserve">Территориальная зона жилой застройки выделена для обеспечения правовых </w:t>
      </w:r>
      <w:r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условий формирования жилой застройки. Жилые зоны (коды зон Ж-1, Ж-2, Ж-3) предназначены для застройки жилыми домами с минимально разрешенным набором услуг местного значения.</w:t>
      </w:r>
    </w:p>
    <w:p w:rsidR="00FB2B6A" w:rsidRDefault="00FB2B6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B2B6A" w:rsidRDefault="00FB2B6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B2B6A" w:rsidRDefault="00FB2B6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w w:val="1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360" cy="4820760"/>
            <wp:effectExtent l="0" t="0" r="324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360" cy="48207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2B6A" w:rsidRDefault="00DD3FD4">
      <w:pPr>
        <w:pStyle w:val="Standard"/>
        <w:spacing w:after="0" w:line="240" w:lineRule="auto"/>
        <w:ind w:left="4320" w:firstLine="1350"/>
        <w:jc w:val="both"/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 Размещение земельного участка</w:t>
      </w:r>
    </w:p>
    <w:p w:rsidR="00FB2B6A" w:rsidRDefault="00FB2B6A">
      <w:pPr>
        <w:pStyle w:val="Standard"/>
        <w:spacing w:after="0" w:line="240" w:lineRule="auto"/>
        <w:ind w:left="4320" w:firstLine="135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B2B6A" w:rsidRDefault="00DD3FD4">
      <w:pPr>
        <w:pStyle w:val="Standard"/>
        <w:keepNext/>
        <w:spacing w:before="160" w:after="160" w:line="240" w:lineRule="auto"/>
        <w:ind w:firstLine="709"/>
        <w:jc w:val="center"/>
        <w:outlineLvl w:val="3"/>
      </w:pPr>
      <w:r>
        <w:rPr>
          <w:rFonts w:ascii="Times New Roman" w:eastAsia="Lucida Sans Unicode" w:hAnsi="Times New Roman" w:cs="Times New Roman"/>
          <w:b/>
          <w:bCs/>
          <w:color w:val="000000"/>
          <w:sz w:val="24"/>
          <w:szCs w:val="26"/>
          <w:u w:val="single"/>
        </w:rPr>
        <w:t xml:space="preserve">Ж-3. Зона многоквартирной секционной жилой </w:t>
      </w:r>
      <w:r>
        <w:rPr>
          <w:rFonts w:ascii="Times New Roman" w:eastAsia="Lucida Sans Unicode" w:hAnsi="Times New Roman" w:cs="Times New Roman"/>
          <w:b/>
          <w:bCs/>
          <w:color w:val="000000"/>
          <w:sz w:val="24"/>
          <w:szCs w:val="26"/>
          <w:u w:val="single"/>
        </w:rPr>
        <w:t>застройки 2 – 5 этажей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lang w:eastAsia="en-US"/>
        </w:rPr>
        <w:t>Зона многоквартирной секционной жилой застройки 2 – 5 этажей – т</w:t>
      </w:r>
      <w:r>
        <w:rPr>
          <w:rFonts w:ascii="Times New Roman" w:eastAsia="Calibri" w:hAnsi="Times New Roman" w:cs="Times New Roman"/>
          <w:sz w:val="24"/>
        </w:rPr>
        <w:t>ерритории, застроенные или планируемые к застройке многоквартирными секционными жилыми домами не выше 5-и этажей</w:t>
      </w: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6"/>
          <w:szCs w:val="28"/>
          <w:lang w:eastAsia="en-US"/>
        </w:rPr>
        <w:t>1. Основные виды разрешенного использования</w:t>
      </w:r>
    </w:p>
    <w:tbl>
      <w:tblPr>
        <w:tblW w:w="10173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4"/>
        <w:gridCol w:w="4535"/>
        <w:gridCol w:w="2554"/>
      </w:tblGrid>
      <w:tr w:rsidR="00FB2B6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разреш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енного использования земельных участков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20" w:lineRule="exact"/>
              <w:jc w:val="center"/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Содержание видов разрешенного использования земельных участков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Параметры разрешенного строительства и использования земельных участков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Среднеэтажная жилая застройка</w:t>
            </w:r>
          </w:p>
          <w:p w:rsidR="00FB2B6A" w:rsidRDefault="00DD3FD4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(код 2.5)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Размещение жилых домов, предназначенных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для разделения на квартиры, каждая из которых пригодна для постоянного проживания (жилые дома высотой не выше восьми надземных этажей, разделенных на две и более квартиры);</w:t>
            </w:r>
          </w:p>
          <w:p w:rsidR="00FB2B6A" w:rsidRDefault="00DD3FD4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благоустройство и озеленение;</w:t>
            </w:r>
          </w:p>
          <w:p w:rsidR="00FB2B6A" w:rsidRDefault="00DD3FD4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размещение подземных гаражей и автостоянок;</w:t>
            </w:r>
          </w:p>
          <w:p w:rsidR="00FB2B6A" w:rsidRDefault="00DD3FD4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обустр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ойство спортивных и детских площадок, площадок отдыха;</w:t>
            </w:r>
          </w:p>
          <w:p w:rsidR="00FB2B6A" w:rsidRDefault="00DD3FD4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3"/>
                <w:szCs w:val="23"/>
                <w:lang w:eastAsia="en-US"/>
              </w:rPr>
              <w:t xml:space="preserve">размещение объектов обслуживания жилой застройки во встроенных, пристроенных и </w:t>
            </w:r>
            <w:r>
              <w:rPr>
                <w:rFonts w:ascii="Times New Roman" w:eastAsia="Calibri" w:hAnsi="Times New Roman" w:cs="Times New Roman"/>
                <w:sz w:val="23"/>
                <w:szCs w:val="23"/>
                <w:lang w:eastAsia="en-US"/>
              </w:rPr>
              <w:lastRenderedPageBreak/>
              <w:t>встроенно-пристроенных помещениях многоквартирного дома, если общая площадь таких помещений в многоквартирном доме не сос</w:t>
            </w:r>
            <w:r>
              <w:rPr>
                <w:rFonts w:ascii="Times New Roman" w:eastAsia="Calibri" w:hAnsi="Times New Roman" w:cs="Times New Roman"/>
                <w:sz w:val="23"/>
                <w:szCs w:val="23"/>
                <w:lang w:eastAsia="en-US"/>
              </w:rPr>
              <w:t>тавляет более 20% общей площади помещений дома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ind w:right="459"/>
              <w:jc w:val="both"/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lastRenderedPageBreak/>
              <w:t>Таблица 57, 58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663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Блокированная жилая застройка (код 2.3)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Жилой дом блокированной застройки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hd w:val="clear" w:color="auto" w:fill="FFFFFF"/>
              <w:tabs>
                <w:tab w:val="left" w:pos="427"/>
              </w:tabs>
              <w:spacing w:after="0" w:line="240" w:lineRule="auto"/>
              <w:ind w:left="33" w:hanging="1"/>
              <w:jc w:val="both"/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Общее количество совме-щенных домов не более десяти. </w:t>
            </w:r>
            <w:r>
              <w:rPr>
                <w:rFonts w:ascii="Times New Roman" w:eastAsia="Calibri" w:hAnsi="Times New Roman" w:cs="Times New Roman"/>
                <w:sz w:val="24"/>
              </w:rPr>
              <w:t>другие параметры в таблице 57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715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Обслуживание жилой застройки (код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2.7)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Объекты капитального строительства, размещение которых предусмотрено видами разрешенного использования с </w:t>
            </w:r>
            <w:hyperlink r:id="rId9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кодами 3.1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(коммунальное обслу-живание), </w:t>
            </w:r>
            <w:hyperlink r:id="rId10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3.4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(здравоохранение), </w:t>
            </w:r>
            <w:hyperlink r:id="rId11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3.4.1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(амбула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торно-поликлиническое обслужи-вание), </w:t>
            </w:r>
            <w:hyperlink r:id="rId12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3.10.1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(амбулаторное ветери-нарное обслуживание), </w:t>
            </w:r>
            <w:hyperlink r:id="rId13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4.7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(гостиничное обслуживание), если их размещение связано с удовлетворением повседневных потребностей жителей, не причиня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Таблица 57, 58</w:t>
            </w:r>
          </w:p>
        </w:tc>
      </w:tr>
    </w:tbl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en-US"/>
        </w:rPr>
        <w:t xml:space="preserve">  </w:t>
      </w: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6"/>
          <w:szCs w:val="28"/>
          <w:lang w:eastAsia="en-US"/>
        </w:rPr>
        <w:t>2. Вспомогательные виды разрешенного использования</w:t>
      </w:r>
    </w:p>
    <w:tbl>
      <w:tblPr>
        <w:tblW w:w="10173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4"/>
        <w:gridCol w:w="4535"/>
        <w:gridCol w:w="2554"/>
      </w:tblGrid>
      <w:tr w:rsidR="00FB2B6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Виды разрешенного использования земельных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участков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20" w:lineRule="exact"/>
              <w:jc w:val="center"/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Содержание видов разрешенного использования земельных участков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Параметры разрешенного строительства и использования земельных участков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1066"/>
        </w:trPr>
        <w:tc>
          <w:tcPr>
            <w:tcW w:w="30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Среднеэтажная жилая застройка</w:t>
            </w:r>
          </w:p>
          <w:p w:rsidR="00FB2B6A" w:rsidRDefault="00DD3FD4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(код 2.5)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Объекты обслуживания жилой застройки во встроенных, пристроенных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встроенно-пристроенных помещениях малоэтажного многоквартирного дома</w:t>
            </w:r>
          </w:p>
        </w:tc>
        <w:tc>
          <w:tcPr>
            <w:tcW w:w="25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Общая площадь объектов обслуживания не может превышать 15% общей площади помещений жилого дома.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Предельные параметры в таблице 57,58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63"/>
        </w:trPr>
        <w:tc>
          <w:tcPr>
            <w:tcW w:w="30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DD3FD4"/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Иные вспомогательные сооружения</w:t>
            </w:r>
          </w:p>
        </w:tc>
        <w:tc>
          <w:tcPr>
            <w:tcW w:w="25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DD3FD4"/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301"/>
        </w:trPr>
        <w:tc>
          <w:tcPr>
            <w:tcW w:w="30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Блокированная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жилая застройка</w:t>
            </w:r>
          </w:p>
          <w:p w:rsidR="00FB2B6A" w:rsidRDefault="00DD3FD4">
            <w:pPr>
              <w:pStyle w:val="Standard"/>
              <w:widowControl w:val="0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(код 2.3)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ind w:firstLine="709"/>
              <w:jc w:val="both"/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Индивидуальный гараж</w:t>
            </w:r>
          </w:p>
        </w:tc>
        <w:tc>
          <w:tcPr>
            <w:tcW w:w="255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hd w:val="clear" w:color="auto" w:fill="FFFFFF"/>
              <w:tabs>
                <w:tab w:val="left" w:pos="428"/>
              </w:tabs>
              <w:spacing w:after="0" w:line="240" w:lineRule="auto"/>
              <w:ind w:left="34"/>
              <w:jc w:val="both"/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Водоотвод с крыш объектов должен осуществляться на земельный участок собственника. Предельные параметры в таблице 58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30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DD3FD4"/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ind w:firstLine="709"/>
              <w:jc w:val="both"/>
            </w:pPr>
            <w:r>
              <w:rPr>
                <w:rFonts w:ascii="Times New Roman" w:eastAsia="Lucida Sans Unicode" w:hAnsi="Times New Roman" w:cs="Times New Roman"/>
                <w:sz w:val="24"/>
                <w:szCs w:val="24"/>
              </w:rPr>
              <w:t>Иные вспомогательные сооружения</w:t>
            </w:r>
          </w:p>
        </w:tc>
        <w:tc>
          <w:tcPr>
            <w:tcW w:w="25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DD3FD4"/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565"/>
        </w:trPr>
        <w:tc>
          <w:tcPr>
            <w:tcW w:w="30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DD3FD4"/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ind w:firstLine="709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Разведение декоративных и плодовых деревьев, овощных 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ягодных культур</w:t>
            </w:r>
          </w:p>
        </w:tc>
        <w:tc>
          <w:tcPr>
            <w:tcW w:w="255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00000" w:rsidRDefault="00DD3FD4"/>
        </w:tc>
      </w:tr>
    </w:tbl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US"/>
        </w:rPr>
        <w:t xml:space="preserve">  </w:t>
      </w: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6"/>
          <w:szCs w:val="28"/>
          <w:lang w:eastAsia="en-US"/>
        </w:rPr>
        <w:t>3. Условно разрешенные виды использования</w:t>
      </w:r>
    </w:p>
    <w:tbl>
      <w:tblPr>
        <w:tblW w:w="10173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4"/>
        <w:gridCol w:w="4535"/>
        <w:gridCol w:w="2554"/>
      </w:tblGrid>
      <w:tr w:rsidR="00FB2B6A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разрешенного использования земельных участков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20" w:lineRule="exact"/>
              <w:jc w:val="center"/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Содержание видов разрешенного использования земельных участков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Параметры разрешенного строительства и использования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земельных участков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Объекты гаражного назначения (код 2.7.1)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Отдельно стоящие и пристроенные гаражи, в том числе подземные, предназначенные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hd w:val="clear" w:color="auto" w:fill="FFFFFF"/>
              <w:tabs>
                <w:tab w:val="left" w:pos="428"/>
              </w:tabs>
              <w:spacing w:after="0" w:line="240" w:lineRule="auto"/>
              <w:ind w:left="34"/>
              <w:jc w:val="both"/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Предельные параметры в таблице 58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3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Магазины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(код 4.4)</w:t>
            </w:r>
          </w:p>
        </w:tc>
        <w:tc>
          <w:tcPr>
            <w:tcW w:w="45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капитального строительства, предназначенные для продажи товаров, торговая площадь которых составляет до 5000 кв. м</w:t>
            </w:r>
          </w:p>
        </w:tc>
        <w:tc>
          <w:tcPr>
            <w:tcW w:w="25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hd w:val="clear" w:color="auto" w:fill="FFFFFF"/>
              <w:tabs>
                <w:tab w:val="left" w:pos="428"/>
              </w:tabs>
              <w:spacing w:after="0" w:line="240" w:lineRule="auto"/>
              <w:ind w:left="34"/>
              <w:jc w:val="both"/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Предельные параметры в таблицах 57, 58</w:t>
            </w:r>
          </w:p>
        </w:tc>
      </w:tr>
    </w:tbl>
    <w:p w:rsidR="00FB2B6A" w:rsidRDefault="00FB2B6A">
      <w:pPr>
        <w:pStyle w:val="Standard"/>
        <w:widowControl w:val="0"/>
        <w:spacing w:after="0" w:line="240" w:lineRule="auto"/>
        <w:rPr>
          <w:rFonts w:ascii="Times New Roman" w:eastAsia="Lucida Sans Unicode" w:hAnsi="Times New Roman" w:cs="Times New Roman"/>
          <w:sz w:val="18"/>
          <w:szCs w:val="20"/>
        </w:rPr>
      </w:pPr>
    </w:p>
    <w:p w:rsidR="00FB2B6A" w:rsidRDefault="00FB2B6A">
      <w:pPr>
        <w:pStyle w:val="Standard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lang w:eastAsia="en-US"/>
        </w:rPr>
      </w:pPr>
    </w:p>
    <w:p w:rsidR="00FB2B6A" w:rsidRDefault="00DD3FD4">
      <w:pPr>
        <w:pStyle w:val="Standard"/>
        <w:keepNext/>
        <w:spacing w:before="120" w:after="120" w:line="240" w:lineRule="auto"/>
        <w:ind w:firstLine="709"/>
        <w:jc w:val="both"/>
        <w:outlineLvl w:val="4"/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6"/>
          <w:u w:val="single"/>
        </w:rPr>
        <w:t xml:space="preserve">Параметры основных и вспомогательных и условно разрешённых видов разрешенного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6"/>
          <w:u w:val="single"/>
        </w:rPr>
        <w:t>использования и строительства (см. табл. 57,58):</w:t>
      </w:r>
    </w:p>
    <w:p w:rsidR="00FB2B6A" w:rsidRDefault="00DD3FD4">
      <w:pPr>
        <w:pStyle w:val="Standard"/>
        <w:widowControl w:val="0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Параметры основных и вспомогательных видов разрешенного строительства применяются при соблюдении требований </w:t>
      </w:r>
      <w:r>
        <w:rPr>
          <w:rFonts w:ascii="Times New Roman" w:eastAsia="Calibri" w:hAnsi="Times New Roman" w:cs="Times New Roman"/>
          <w:bCs/>
          <w:iCs/>
          <w:sz w:val="24"/>
          <w:lang w:eastAsia="en-US"/>
        </w:rPr>
        <w:t>СП 42.13330.2011. «Свод правил. Градостроительство. Планировка и застройка городских и сельских пос</w:t>
      </w:r>
      <w:r>
        <w:rPr>
          <w:rFonts w:ascii="Times New Roman" w:eastAsia="Calibri" w:hAnsi="Times New Roman" w:cs="Times New Roman"/>
          <w:bCs/>
          <w:iCs/>
          <w:sz w:val="24"/>
          <w:lang w:eastAsia="en-US"/>
        </w:rPr>
        <w:t>елений. (Актуализированная редакция СНиП 2.07.01-89*)»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>
        <w:rPr>
          <w:rFonts w:ascii="Times New Roman" w:eastAsia="Calibri" w:hAnsi="Times New Roman" w:cs="Times New Roman"/>
          <w:color w:val="000000"/>
          <w:sz w:val="24"/>
          <w:lang w:eastAsia="en-US"/>
        </w:rPr>
        <w:t xml:space="preserve">СП 35-105-2002 «Свод правил Реконструкция городской застройки с учётом доступности для инвалидов и других мало мобильных групп населения»,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СП 35-102-2001 «Свод правил Жилая среда с планировочными элеме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нтами доступными инвалидам»,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СП 31-107-2004Свод правил Архитектурно-планировочные решения многоквартирных жилых зданий, 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СП 31-102-99 Свод правил Требования доступности общественных зданий и сооружений для инвалидов и других мало мобильных групп посетителей,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СанПиН 2.2.1/2.1.1.1200-03 «Санитарно-защитные зоны и санитарная классификация предприятий, сооружений и иных объектов», технических регламентов, в том числе Технического регламента пожарной безопасности (от 22 июля 2008 г. № 123-ФЗ), региональных нормати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вов градостроительного проектирования Курганской области.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1. Расчёт площади нормируемых элементов дворовой территории осуществляется в соответствии с нормами, приведенными в таблице 10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региональных нормативов градостроительного проектирования Курганской об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ласти.</w:t>
      </w:r>
    </w:p>
    <w:p w:rsidR="00FB2B6A" w:rsidRDefault="00DD3FD4">
      <w:pPr>
        <w:pStyle w:val="Standard"/>
        <w:shd w:val="clear" w:color="auto" w:fill="FFFFFF"/>
        <w:tabs>
          <w:tab w:val="left" w:pos="1042"/>
        </w:tabs>
        <w:spacing w:after="0" w:line="240" w:lineRule="auto"/>
        <w:ind w:firstLine="539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2.</w:t>
      </w:r>
      <w:r>
        <w:rPr>
          <w:rFonts w:ascii="Times New Roman" w:eastAsia="Calibri" w:hAnsi="Times New Roman" w:cs="Times New Roman"/>
          <w:spacing w:val="-2"/>
          <w:sz w:val="24"/>
          <w:szCs w:val="24"/>
          <w:lang w:eastAsia="en-US"/>
        </w:rPr>
        <w:t>Жилые здания с квартирами в первых этажах следует располагать, как правило, с отступом от красных линий.</w:t>
      </w:r>
    </w:p>
    <w:p w:rsidR="00FB2B6A" w:rsidRDefault="00DD3FD4">
      <w:pPr>
        <w:pStyle w:val="Standard"/>
        <w:shd w:val="clear" w:color="auto" w:fill="FFFFFF"/>
        <w:spacing w:after="0" w:line="274" w:lineRule="exact"/>
        <w:ind w:left="5" w:firstLine="538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Расстояние от края основной проезжей части улиц, местных или боковых проездов до линии застройки следует принимать не более 25 м. В случаях пр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машин.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По красной линии допускается размещать жилые здания со встроенными в первые этажи или </w:t>
      </w:r>
      <w:r>
        <w:rPr>
          <w:rFonts w:ascii="Times New Roman" w:eastAsia="Calibri" w:hAnsi="Times New Roman" w:cs="Times New Roman"/>
          <w:sz w:val="24"/>
          <w:lang w:eastAsia="en-US"/>
        </w:rPr>
        <w:t>пристроенными помещениями общественного назначения, кроме учреждений образования и воспитания, а на жилых улицах в условиях реконструкции сложившейся застройки – жилые здания с квартирами в первых этажах.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lang w:eastAsia="en-US"/>
        </w:rPr>
        <w:t>4. Запрещается размещение жилых помещений в цокольн</w:t>
      </w:r>
      <w:r>
        <w:rPr>
          <w:rFonts w:ascii="Times New Roman" w:eastAsia="Calibri" w:hAnsi="Times New Roman" w:cs="Times New Roman"/>
          <w:sz w:val="24"/>
          <w:lang w:eastAsia="en-US"/>
        </w:rPr>
        <w:t>ых и подвальных этажах.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lang w:eastAsia="en-US"/>
        </w:rPr>
        <w:t>5. Размещение встроенно-пристроенных нежилых объектов допускается при условии выполнения норм пожарной безопасности в соответствии с требованиями Технического регламента пожарной безопасности (от 22 июля 2008 г. № 123-ФЗ), СП 31-107</w:t>
      </w:r>
      <w:r>
        <w:rPr>
          <w:rFonts w:ascii="Times New Roman" w:eastAsia="Calibri" w:hAnsi="Times New Roman" w:cs="Times New Roman"/>
          <w:sz w:val="24"/>
          <w:lang w:eastAsia="en-US"/>
        </w:rPr>
        <w:t xml:space="preserve">-2004, </w:t>
      </w:r>
      <w:r>
        <w:rPr>
          <w:rFonts w:ascii="Times New Roman" w:eastAsia="Calibri" w:hAnsi="Times New Roman" w:cs="Times New Roman"/>
          <w:color w:val="000000"/>
          <w:sz w:val="24"/>
          <w:lang w:eastAsia="en-US"/>
        </w:rPr>
        <w:t>СП 31-102-99,</w:t>
      </w:r>
      <w:r>
        <w:rPr>
          <w:rFonts w:ascii="Times New Roman" w:eastAsia="Calibri" w:hAnsi="Times New Roman" w:cs="Times New Roman"/>
          <w:sz w:val="24"/>
          <w:lang w:eastAsia="en-US"/>
        </w:rPr>
        <w:t>СНиП 21-02-99*, ППБ 01-03, в том числе: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lang w:eastAsia="en-US"/>
        </w:rPr>
        <w:t>- обособленные от жилой территории входы для посетителей;</w:t>
      </w:r>
    </w:p>
    <w:p w:rsidR="00FB2B6A" w:rsidRDefault="00DD3FD4">
      <w:pPr>
        <w:pStyle w:val="Standard"/>
        <w:widowControl w:val="0"/>
        <w:spacing w:after="0" w:line="235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обособленные подъезды и площадки для парковки автомобилей, обслуживающих встроенный объект;</w:t>
      </w:r>
    </w:p>
    <w:p w:rsidR="00FB2B6A" w:rsidRDefault="00DD3FD4">
      <w:pPr>
        <w:pStyle w:val="Standard"/>
        <w:widowControl w:val="0"/>
        <w:spacing w:after="0" w:line="235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- самостоятельные шахты для вентиляции;</w:t>
      </w:r>
    </w:p>
    <w:p w:rsidR="00FB2B6A" w:rsidRDefault="00DD3FD4">
      <w:pPr>
        <w:pStyle w:val="Standard"/>
        <w:widowControl w:val="0"/>
        <w:shd w:val="clear" w:color="auto" w:fill="FFFFFF"/>
        <w:spacing w:after="0" w:line="235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отделение нежилых помещений от жилых противопожарными, звукоизолирующими перекрытиями и перегородками.</w:t>
      </w:r>
    </w:p>
    <w:p w:rsidR="00FB2B6A" w:rsidRDefault="00DD3FD4">
      <w:pPr>
        <w:pStyle w:val="Standard"/>
        <w:widowControl w:val="0"/>
        <w:shd w:val="clear" w:color="auto" w:fill="FFFFFF"/>
        <w:spacing w:after="0" w:line="235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Доля нежилого фонда в общем объеме фонда на участке жилой застройки не должна превышать 20 %.</w:t>
      </w:r>
    </w:p>
    <w:p w:rsidR="00FB2B6A" w:rsidRDefault="00DD3FD4">
      <w:pPr>
        <w:pStyle w:val="Standard"/>
        <w:widowControl w:val="0"/>
        <w:shd w:val="clear" w:color="auto" w:fill="FFFFFF"/>
        <w:spacing w:after="0" w:line="235" w:lineRule="auto"/>
        <w:ind w:right="17" w:firstLine="697"/>
        <w:jc w:val="both"/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В жилых зданиях не допускается размещение объектов, оказыва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 xml:space="preserve">ющих вредное 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lastRenderedPageBreak/>
        <w:t xml:space="preserve">воздействие на человека, в соответствии с требованиями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СанПиН 2.2.1/2.1.1.1200-03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.</w:t>
      </w:r>
    </w:p>
    <w:p w:rsidR="00FB2B6A" w:rsidRDefault="00DD3FD4">
      <w:pPr>
        <w:pStyle w:val="Standard"/>
        <w:widowControl w:val="0"/>
        <w:shd w:val="clear" w:color="auto" w:fill="FFFFFF"/>
        <w:spacing w:after="0" w:line="235" w:lineRule="auto"/>
        <w:ind w:right="17" w:firstLine="697"/>
        <w:jc w:val="both"/>
      </w:pPr>
      <w:r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  <w:t>6. Минимально допустимые расстояния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(бытовые разрывы) между длинными сторонами секционных жилых зданий высотой 2-3 этажа должны быть не менее 15 м, а высотой 4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этажа – не менее 20 м, между длинными сторонами и торцами этих же зданий с окнами из жилых комнат – не менее 10 м.</w:t>
      </w:r>
    </w:p>
    <w:p w:rsidR="00FB2B6A" w:rsidRDefault="00DD3FD4">
      <w:pPr>
        <w:pStyle w:val="Standard"/>
        <w:widowControl w:val="0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>7.</w:t>
      </w:r>
      <w:r>
        <w:rPr>
          <w:rFonts w:ascii="Times New Roman" w:eastAsia="Calibri" w:hAnsi="Times New Roman" w:cs="Times New Roman"/>
          <w:sz w:val="24"/>
          <w:lang w:eastAsia="en-US"/>
        </w:rPr>
        <w:t>Минимально допустимые расстояния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окон жилых и общественных зданий до площадок следует принимать:</w:t>
      </w:r>
    </w:p>
    <w:tbl>
      <w:tblPr>
        <w:tblW w:w="1008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69"/>
        <w:gridCol w:w="5013"/>
      </w:tblGrid>
      <w:tr w:rsidR="00FB2B6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Назначение площадок</w:t>
            </w:r>
          </w:p>
        </w:tc>
        <w:tc>
          <w:tcPr>
            <w:tcW w:w="5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Расстояние от окон </w:t>
            </w: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жилых и общественных</w:t>
            </w:r>
          </w:p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lang w:eastAsia="en-US"/>
              </w:rPr>
              <w:t>зданий, м, не менее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452"/>
          <w:jc w:val="center"/>
        </w:trPr>
        <w:tc>
          <w:tcPr>
            <w:tcW w:w="5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игр детей дошкольного и младшего школьного возраста</w:t>
            </w:r>
          </w:p>
        </w:tc>
        <w:tc>
          <w:tcPr>
            <w:tcW w:w="5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отдыха взрослого населения</w:t>
            </w:r>
          </w:p>
        </w:tc>
        <w:tc>
          <w:tcPr>
            <w:tcW w:w="5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занятий физкультурой (в зависимости от шумовых характеристик *)</w:t>
            </w:r>
          </w:p>
        </w:tc>
        <w:tc>
          <w:tcPr>
            <w:tcW w:w="5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10 - 40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хозяйственных целей</w:t>
            </w:r>
          </w:p>
        </w:tc>
        <w:tc>
          <w:tcPr>
            <w:tcW w:w="5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Для выгула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собак</w:t>
            </w:r>
          </w:p>
        </w:tc>
        <w:tc>
          <w:tcPr>
            <w:tcW w:w="5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0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стоянки автомобилей</w:t>
            </w:r>
          </w:p>
        </w:tc>
        <w:tc>
          <w:tcPr>
            <w:tcW w:w="50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 таблице 89 настоящих нормативов</w:t>
            </w:r>
          </w:p>
        </w:tc>
      </w:tr>
    </w:tbl>
    <w:p w:rsidR="00FB2B6A" w:rsidRDefault="00DD3FD4">
      <w:pPr>
        <w:pStyle w:val="Standard"/>
        <w:widowControl w:val="0"/>
        <w:spacing w:before="120"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* Наибольшие значения принимаются для хоккейных и футбольных площадок, наименьшие – для площадок для настольного тенниса.</w:t>
      </w:r>
    </w:p>
    <w:p w:rsidR="00FB2B6A" w:rsidRDefault="00DD3FD4">
      <w:pPr>
        <w:pStyle w:val="Standard"/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Расстояния от площадок для сушки белья не нормируются.</w:t>
      </w:r>
    </w:p>
    <w:p w:rsidR="00FB2B6A" w:rsidRDefault="00DD3FD4">
      <w:pPr>
        <w:pStyle w:val="Standard"/>
        <w:widowControl w:val="0"/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Расстояния от площадок для мусоросборников до физкультурных площадок, площадок для игр детей и отдыха взрослых следует принимать не менее 20 м.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Расстояния от площадок для хозяйственных целей до наиболее удаленного входа в жилое здание – не более 100 м для </w:t>
      </w:r>
      <w:r>
        <w:rPr>
          <w:rFonts w:ascii="Times New Roman" w:eastAsia="Calibri" w:hAnsi="Times New Roman" w:cs="Times New Roman"/>
          <w:sz w:val="24"/>
          <w:lang w:eastAsia="en-US"/>
        </w:rPr>
        <w:t>домов с мусоропроводами и 50 м для домов без мусоропроводов.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Минимальные площади нормируемых элементов дворовой территории многоквартирного жилого дома принимаются в соответствии с нормами, приведенными в таблице.</w:t>
      </w:r>
    </w:p>
    <w:p w:rsidR="00FB2B6A" w:rsidRDefault="00FB2B6A">
      <w:pPr>
        <w:pStyle w:val="Standard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FB2B6A" w:rsidRDefault="00FB2B6A">
      <w:pPr>
        <w:pStyle w:val="Standard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5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9"/>
        <w:gridCol w:w="3882"/>
      </w:tblGrid>
      <w:tr w:rsidR="00FB2B6A">
        <w:tblPrEx>
          <w:tblCellMar>
            <w:top w:w="0" w:type="dxa"/>
            <w:bottom w:w="0" w:type="dxa"/>
          </w:tblCellMar>
        </w:tblPrEx>
        <w:trPr>
          <w:trHeight w:val="284"/>
          <w:jc w:val="center"/>
        </w:trPr>
        <w:tc>
          <w:tcPr>
            <w:tcW w:w="5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Площадки</w:t>
            </w:r>
          </w:p>
        </w:tc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Удельные размеры площадок, 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/чел(жителя дома).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игр детей дошкольного и младшего школьного возраста</w:t>
            </w:r>
          </w:p>
        </w:tc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0,7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отдыха взрослого населения</w:t>
            </w:r>
          </w:p>
        </w:tc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0,1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занятий физкультурой</w:t>
            </w:r>
          </w:p>
        </w:tc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2,0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хозяйственных целей и выгула собак</w:t>
            </w:r>
          </w:p>
        </w:tc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0,3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временной стоянки (парковки) автотранспорта</w:t>
            </w:r>
          </w:p>
        </w:tc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227"/>
          <w:jc w:val="center"/>
        </w:trPr>
        <w:tc>
          <w:tcPr>
            <w:tcW w:w="56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дворового озеленения</w:t>
            </w:r>
          </w:p>
        </w:tc>
        <w:tc>
          <w:tcPr>
            <w:tcW w:w="38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B2B6A" w:rsidRDefault="00DD3FD4">
            <w:pPr>
              <w:pStyle w:val="Standard"/>
              <w:widowControl w:val="0"/>
              <w:spacing w:after="0" w:line="240" w:lineRule="auto"/>
              <w:jc w:val="center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2,0</w:t>
            </w:r>
          </w:p>
        </w:tc>
      </w:tr>
    </w:tbl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</w:rPr>
        <w:t>При этом площадь озелененной территории участка многоквартирной застройки жилой зоны должна составлять не менее 25 % площади территории участка.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7. Предприятия обслуживания размещаются в первых этажах жилых многоквартирных домов, </w:t>
      </w:r>
      <w:r>
        <w:rPr>
          <w:rFonts w:ascii="Times New Roman" w:eastAsia="Calibri" w:hAnsi="Times New Roman" w:cs="Times New Roman"/>
          <w:sz w:val="24"/>
          <w:lang w:eastAsia="en-US"/>
        </w:rPr>
        <w:t>выходящих на улицу, или пристраиваются к ним при условиях, что входы для посетителей предприятий обслуживания размещаются со стороны улицы и мест временного хранения автомашин достаточно.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lang w:eastAsia="en-US"/>
        </w:rPr>
        <w:t>8. Высота зданий от уровня земли до верха плоской кровли не более 1</w:t>
      </w:r>
      <w:r>
        <w:rPr>
          <w:rFonts w:ascii="Times New Roman" w:eastAsia="Calibri" w:hAnsi="Times New Roman" w:cs="Times New Roman"/>
          <w:sz w:val="24"/>
          <w:lang w:eastAsia="en-US"/>
        </w:rPr>
        <w:t>5 м, до конька скатной кровли не более 18 м, не включая шпили, башни, флагштоки.</w:t>
      </w:r>
    </w:p>
    <w:p w:rsidR="00FB2B6A" w:rsidRDefault="00DD3FD4">
      <w:pPr>
        <w:pStyle w:val="Standard"/>
        <w:spacing w:after="0" w:line="240" w:lineRule="auto"/>
        <w:ind w:firstLine="709"/>
        <w:jc w:val="both"/>
      </w:pPr>
      <w:r>
        <w:rPr>
          <w:rFonts w:ascii="Times New Roman" w:eastAsia="Calibri" w:hAnsi="Times New Roman" w:cs="Times New Roman"/>
          <w:sz w:val="24"/>
          <w:lang w:eastAsia="en-US"/>
        </w:rPr>
        <w:t xml:space="preserve">9. Минимальные площади земельных участков объектов общественной застройки, обслуживающих зданий и сооружений определяются на основе норм </w:t>
      </w:r>
      <w:r>
        <w:rPr>
          <w:rFonts w:ascii="Times New Roman" w:eastAsia="Calibri" w:hAnsi="Times New Roman" w:cs="Times New Roman"/>
          <w:bCs/>
          <w:iCs/>
          <w:sz w:val="24"/>
          <w:lang w:eastAsia="en-US"/>
        </w:rPr>
        <w:t>СП 42.13330.2011. «Свод правил. Градо</w:t>
      </w:r>
      <w:r>
        <w:rPr>
          <w:rFonts w:ascii="Times New Roman" w:eastAsia="Calibri" w:hAnsi="Times New Roman" w:cs="Times New Roman"/>
          <w:bCs/>
          <w:iCs/>
          <w:sz w:val="24"/>
          <w:lang w:eastAsia="en-US"/>
        </w:rPr>
        <w:t>строительство. Планировка и застройка городских и сельских поселений. (Актуализированная редакция СНиП 2.07.01-89*)»</w:t>
      </w:r>
      <w:r>
        <w:rPr>
          <w:rFonts w:ascii="Times New Roman" w:eastAsia="Calibri" w:hAnsi="Times New Roman" w:cs="Times New Roman"/>
          <w:sz w:val="24"/>
          <w:lang w:eastAsia="en-US"/>
        </w:rPr>
        <w:t>, "СНиП 31-06-2009. Общественные здания и сооружения", СП 30-102-99 "Планировка и застройка территорий малоэтажного строительства", регионал</w:t>
      </w:r>
      <w:r>
        <w:rPr>
          <w:rFonts w:ascii="Times New Roman" w:eastAsia="Calibri" w:hAnsi="Times New Roman" w:cs="Times New Roman"/>
          <w:sz w:val="24"/>
          <w:lang w:eastAsia="en-US"/>
        </w:rPr>
        <w:t>ьных нормативов градостроительного проектирования Курганской области.</w:t>
      </w:r>
    </w:p>
    <w:p w:rsidR="00FB2B6A" w:rsidRDefault="00FB2B6A">
      <w:pPr>
        <w:pStyle w:val="Standard"/>
        <w:spacing w:after="0" w:line="240" w:lineRule="auto"/>
        <w:ind w:left="4320" w:firstLine="135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 Реквизиты акта органа государственной власти субъекта Российской Федерации, органа местного самоуправления, содержащего градостроительный регламент либо реквизиты акта федерального 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ргана государственной власти, органа государственной власти субъекта Российской Федерации, органа местного самоуправления, иной организации, определяющего, в соответствии с федеральными законами, порядок использования земельного участка, на который действи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 градостроительного регламента не распространяется или для которого градостроительный регламент не устанавливается</w:t>
      </w:r>
    </w:p>
    <w:p w:rsidR="00FB2B6A" w:rsidRDefault="00FB2B6A">
      <w:pPr>
        <w:pStyle w:val="Standar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3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49"/>
      </w:tblGrid>
      <w:tr w:rsidR="00FB2B6A">
        <w:tblPrEx>
          <w:tblCellMar>
            <w:top w:w="0" w:type="dxa"/>
            <w:bottom w:w="0" w:type="dxa"/>
          </w:tblCellMar>
        </w:tblPrEx>
        <w:tc>
          <w:tcPr>
            <w:tcW w:w="9349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349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349"/>
            </w:tblGrid>
            <w:tr w:rsidR="00FB2B6A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9349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FB2B6A" w:rsidRDefault="00DD3FD4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Решение  Садовской сельской  Думы от 28.12.2012 г. № 174</w:t>
                  </w:r>
                </w:p>
              </w:tc>
            </w:tr>
            <w:tr w:rsidR="00FB2B6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3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FB2B6A" w:rsidRDefault="00DD3FD4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(наименование представительного органа местного самоуправления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14"/>
                    </w:rPr>
                    <w:t>,</w:t>
                  </w:r>
                </w:p>
              </w:tc>
            </w:tr>
            <w:tr w:rsidR="00FB2B6A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9349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FB2B6A" w:rsidRDefault="00DD3FD4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«Об утверждении </w:t>
                  </w:r>
                  <w:r>
                    <w:rPr>
                      <w:rFonts w:ascii="Times New Roman" w:eastAsia="Times New Roman" w:hAnsi="Times New Roman" w:cs="Times New Roman"/>
                    </w:rPr>
                    <w:t>Правил землепользования и  застройки  Садовского сельсовета Кетовского района  Курганской области»</w:t>
                  </w:r>
                </w:p>
              </w:tc>
            </w:tr>
            <w:tr w:rsidR="00FB2B6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3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FB2B6A" w:rsidRDefault="00DD3FD4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  <w:t>реквизиты акта об утверждении правил)</w:t>
                  </w:r>
                </w:p>
              </w:tc>
            </w:tr>
          </w:tbl>
          <w:p w:rsidR="00FB2B6A" w:rsidRDefault="00FB2B6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FB2B6A">
        <w:tblPrEx>
          <w:tblCellMar>
            <w:top w:w="0" w:type="dxa"/>
            <w:bottom w:w="0" w:type="dxa"/>
          </w:tblCellMar>
        </w:tblPrEx>
        <w:tc>
          <w:tcPr>
            <w:tcW w:w="9349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349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349"/>
            </w:tblGrid>
            <w:tr w:rsidR="00FB2B6A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9349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FB2B6A" w:rsidRDefault="00DD3FD4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Решение  Садовской сельской  Думы от 12.08.2016 г. № 92</w:t>
                  </w:r>
                </w:p>
              </w:tc>
            </w:tr>
            <w:tr w:rsidR="00FB2B6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3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FB2B6A" w:rsidRDefault="00DD3FD4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(наименование представительного органа местного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самоуправления,</w:t>
                  </w:r>
                </w:p>
              </w:tc>
            </w:tr>
            <w:tr w:rsidR="00FB2B6A">
              <w:tblPrEx>
                <w:tblCellMar>
                  <w:top w:w="0" w:type="dxa"/>
                  <w:bottom w:w="0" w:type="dxa"/>
                </w:tblCellMar>
              </w:tblPrEx>
              <w:trPr>
                <w:trHeight w:val="340"/>
              </w:trPr>
              <w:tc>
                <w:tcPr>
                  <w:tcW w:w="9349" w:type="dxa"/>
                  <w:tcBorders>
                    <w:bottom w:val="single" w:sz="4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FB2B6A" w:rsidRDefault="00DD3FD4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</w:rPr>
                    <w:t>«О внесении изменений в Правила землепользования и  застройки  Садовского сельсовета Кетовского района  Курганской области»</w:t>
                  </w:r>
                </w:p>
              </w:tc>
            </w:tr>
            <w:tr w:rsidR="00FB2B6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93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:rsidR="00FB2B6A" w:rsidRDefault="00DD3FD4">
                  <w:pPr>
                    <w:pStyle w:val="Standard"/>
                    <w:spacing w:after="0" w:line="240" w:lineRule="auto"/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реквизиты акта об утверждении правил)</w:t>
                  </w:r>
                </w:p>
              </w:tc>
            </w:tr>
          </w:tbl>
          <w:p w:rsidR="00FB2B6A" w:rsidRDefault="00FB2B6A">
            <w:pPr>
              <w:pStyle w:val="Standard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349" w:type="dxa"/>
            <w:tcBorders>
              <w:bottom w:val="single" w:sz="4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Решение  Садовской сельской  Думы от 17.10.2016 г. № 95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c>
          <w:tcPr>
            <w:tcW w:w="93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(наименование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представительного органа местного самоуправления,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349" w:type="dxa"/>
            <w:tcBorders>
              <w:bottom w:val="single" w:sz="4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«О внесении изменений в Правила землепользования и  застройки  Садовского сельсовета Кетовского района  Курганской области»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c>
          <w:tcPr>
            <w:tcW w:w="93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реквизиты акта об утверждении правил)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349" w:type="dxa"/>
            <w:tcBorders>
              <w:bottom w:val="single" w:sz="4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Решение  Садовской сельской  Думы от 29.0</w:t>
            </w:r>
            <w:r>
              <w:rPr>
                <w:rFonts w:ascii="Times New Roman" w:eastAsia="Times New Roman" w:hAnsi="Times New Roman" w:cs="Times New Roman"/>
              </w:rPr>
              <w:t>9.2017 г. № 130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c>
          <w:tcPr>
            <w:tcW w:w="93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(наименование представительного органа местного самоуправления,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9349" w:type="dxa"/>
            <w:tcBorders>
              <w:bottom w:val="single" w:sz="4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«О внесении изменений в Правила землепользования и  застройки  Садовского сельсовета Кетовского района  Курганской области»</w:t>
            </w:r>
          </w:p>
        </w:tc>
      </w:tr>
      <w:tr w:rsidR="00FB2B6A">
        <w:tblPrEx>
          <w:tblCellMar>
            <w:top w:w="0" w:type="dxa"/>
            <w:bottom w:w="0" w:type="dxa"/>
          </w:tblCellMar>
        </w:tblPrEx>
        <w:tc>
          <w:tcPr>
            <w:tcW w:w="9349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B2B6A" w:rsidRDefault="00DD3FD4">
            <w:pPr>
              <w:pStyle w:val="Standard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реквизиты акта об утверждении правил)</w:t>
            </w:r>
          </w:p>
        </w:tc>
      </w:tr>
    </w:tbl>
    <w:p w:rsidR="00FB2B6A" w:rsidRDefault="00FB2B6A">
      <w:pPr>
        <w:pStyle w:val="Standard"/>
        <w:spacing w:after="0" w:line="240" w:lineRule="auto"/>
        <w:jc w:val="both"/>
      </w:pPr>
    </w:p>
    <w:p w:rsidR="00FB2B6A" w:rsidRDefault="00FB2B6A">
      <w:pPr>
        <w:pStyle w:val="Standard"/>
      </w:pPr>
    </w:p>
    <w:p w:rsidR="00FB2B6A" w:rsidRDefault="00FB2B6A">
      <w:pPr>
        <w:pStyle w:val="Standard"/>
      </w:pP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Начальник отдела     </w:t>
      </w: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архитектуры и градостроительства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С. С. Влеско</w:t>
      </w:r>
    </w:p>
    <w:p w:rsidR="00FB2B6A" w:rsidRDefault="00FB2B6A">
      <w:pPr>
        <w:pStyle w:val="Standard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FB2B6A">
      <w:pPr>
        <w:pStyle w:val="Standard"/>
        <w:spacing w:after="0" w:line="240" w:lineRule="auto"/>
        <w:ind w:right="-57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B2B6A" w:rsidRDefault="00DD3FD4">
      <w:pPr>
        <w:pStyle w:val="Standard"/>
        <w:tabs>
          <w:tab w:val="left" w:pos="4050"/>
        </w:tabs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Евдокимова Е.Э.</w:t>
      </w:r>
    </w:p>
    <w:p w:rsidR="00FB2B6A" w:rsidRDefault="00DD3FD4">
      <w:pPr>
        <w:pStyle w:val="Standard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>(35231)2-37-17</w:t>
      </w:r>
    </w:p>
    <w:p w:rsidR="00FB2B6A" w:rsidRDefault="00FB2B6A">
      <w:pPr>
        <w:pStyle w:val="Standard"/>
        <w:spacing w:after="0" w:line="240" w:lineRule="auto"/>
        <w:ind w:right="-65"/>
        <w:jc w:val="both"/>
      </w:pPr>
    </w:p>
    <w:sectPr w:rsidR="00FB2B6A">
      <w:pgSz w:w="11906" w:h="16838"/>
      <w:pgMar w:top="1134" w:right="850" w:bottom="28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FD4" w:rsidRDefault="00DD3FD4">
      <w:pPr>
        <w:spacing w:after="0" w:line="240" w:lineRule="auto"/>
      </w:pPr>
      <w:r>
        <w:separator/>
      </w:r>
    </w:p>
  </w:endnote>
  <w:endnote w:type="continuationSeparator" w:id="0">
    <w:p w:rsidR="00DD3FD4" w:rsidRDefault="00DD3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FD4" w:rsidRDefault="00DD3FD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D3FD4" w:rsidRDefault="00DD3F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42DDD"/>
    <w:multiLevelType w:val="multilevel"/>
    <w:tmpl w:val="680292F6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>
    <w:nsid w:val="7D7C60A5"/>
    <w:multiLevelType w:val="multilevel"/>
    <w:tmpl w:val="C6A66056"/>
    <w:styleLink w:val="WWNum1"/>
    <w:lvl w:ilvl="0">
      <w:start w:val="1"/>
      <w:numFmt w:val="decimal"/>
      <w:lvlText w:val="%1"/>
      <w:lvlJc w:val="left"/>
      <w:rPr>
        <w:sz w:val="16"/>
        <w:szCs w:val="24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B2B6A"/>
    <w:rsid w:val="00400C69"/>
    <w:rsid w:val="00DD3FD4"/>
    <w:rsid w:val="00FB2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 Unicode MS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paragraph" w:styleId="a5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Textbody"/>
  </w:style>
  <w:style w:type="character" w:customStyle="1" w:styleId="a6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16"/>
      <w:szCs w:val="24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ru-RU" w:eastAsia="ru-RU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Arial Unicode MS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paragraph" w:styleId="a5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Textbody"/>
  </w:style>
  <w:style w:type="character" w:customStyle="1" w:styleId="a6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sz w:val="16"/>
      <w:szCs w:val="24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#P284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#P24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#P19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#P193" TargetMode="External"/><Relationship Id="rId4" Type="http://schemas.openxmlformats.org/officeDocument/2006/relationships/settings" Target="settings.xml"/><Relationship Id="rId9" Type="http://schemas.openxmlformats.org/officeDocument/2006/relationships/hyperlink" Target="#P18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1790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Arhitektura</dc:creator>
  <cp:lastModifiedBy>555</cp:lastModifiedBy>
  <cp:revision>1</cp:revision>
  <cp:lastPrinted>2020-03-31T08:27:00Z</cp:lastPrinted>
  <dcterms:created xsi:type="dcterms:W3CDTF">2020-06-04T09:07:00Z</dcterms:created>
  <dcterms:modified xsi:type="dcterms:W3CDTF">2020-06-08T10:41:00Z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