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933"/>
      </w:tblGrid>
      <w:tr w:rsidR="009D117B" w:rsidRPr="009D117B" w:rsidTr="00510D52">
        <w:trPr>
          <w:trHeight w:val="1432"/>
        </w:trPr>
        <w:tc>
          <w:tcPr>
            <w:tcW w:w="10933" w:type="dxa"/>
          </w:tcPr>
          <w:p w:rsidR="009D117B" w:rsidRPr="009D117B" w:rsidRDefault="005B1D34" w:rsidP="005B1D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="005C4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9D117B"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  <w:r w:rsidR="005C4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9D117B" w:rsidRPr="009C2542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5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17B" w:rsidRPr="009C2542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C254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117B" w:rsidRPr="009D117B" w:rsidTr="00510D52">
        <w:trPr>
          <w:trHeight w:val="575"/>
        </w:trPr>
        <w:tc>
          <w:tcPr>
            <w:tcW w:w="10933" w:type="dxa"/>
          </w:tcPr>
          <w:p w:rsidR="009D117B" w:rsidRPr="009D117B" w:rsidRDefault="009D117B" w:rsidP="009D117B">
            <w:pPr>
              <w:pStyle w:val="a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D117B" w:rsidRPr="009C2542" w:rsidRDefault="009D117B" w:rsidP="009D117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9D117B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="0067432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10D52">
              <w:rPr>
                <w:rFonts w:ascii="Times New Roman" w:hAnsi="Times New Roman"/>
                <w:color w:val="000000"/>
                <w:szCs w:val="24"/>
              </w:rPr>
              <w:t>9 января 2019 года</w:t>
            </w:r>
            <w:r w:rsidR="0067432C" w:rsidRPr="009C254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10D52">
              <w:rPr>
                <w:rFonts w:ascii="Times New Roman" w:hAnsi="Times New Roman"/>
                <w:color w:val="000000"/>
                <w:szCs w:val="24"/>
              </w:rPr>
              <w:t>№ 6</w:t>
            </w:r>
          </w:p>
          <w:p w:rsidR="009D117B" w:rsidRPr="009D117B" w:rsidRDefault="005263DC" w:rsidP="005263DC">
            <w:pPr>
              <w:pStyle w:val="a3"/>
              <w:ind w:right="-1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</w:t>
            </w:r>
            <w:r w:rsidR="009D117B" w:rsidRPr="009D117B">
              <w:rPr>
                <w:rFonts w:ascii="Times New Roman" w:hAnsi="Times New Roman"/>
                <w:color w:val="000000"/>
                <w:szCs w:val="24"/>
              </w:rPr>
              <w:t xml:space="preserve">с. </w:t>
            </w:r>
            <w:proofErr w:type="spellStart"/>
            <w:r w:rsidR="009D117B" w:rsidRPr="009D117B">
              <w:rPr>
                <w:rFonts w:ascii="Times New Roman" w:hAnsi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D117B" w:rsidRPr="009D117B" w:rsidRDefault="009D117B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8A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A2408">
        <w:rPr>
          <w:rFonts w:ascii="Times New Roman" w:hAnsi="Times New Roman" w:cs="Times New Roman"/>
          <w:b/>
          <w:sz w:val="24"/>
          <w:szCs w:val="24"/>
        </w:rPr>
        <w:t xml:space="preserve">Порядка начисления, взимания и расходования 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08">
        <w:rPr>
          <w:rFonts w:ascii="Times New Roman" w:hAnsi="Times New Roman" w:cs="Times New Roman"/>
          <w:b/>
          <w:sz w:val="24"/>
          <w:szCs w:val="24"/>
        </w:rPr>
        <w:t>платы</w:t>
      </w:r>
      <w:r w:rsidRPr="009D117B">
        <w:rPr>
          <w:rFonts w:ascii="Times New Roman" w:hAnsi="Times New Roman" w:cs="Times New Roman"/>
          <w:b/>
          <w:sz w:val="24"/>
          <w:szCs w:val="24"/>
        </w:rPr>
        <w:t>, взимаемой с  родителей (законных представителей) за присмотр и уход за детьми</w:t>
      </w:r>
      <w:r w:rsidR="0042341C">
        <w:rPr>
          <w:rFonts w:ascii="Times New Roman" w:hAnsi="Times New Roman" w:cs="Times New Roman"/>
          <w:b/>
          <w:sz w:val="24"/>
          <w:szCs w:val="24"/>
        </w:rPr>
        <w:t xml:space="preserve"> в муниципальных казенных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учреждениях Кетовского района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C2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законами от 06.10.2003г. №131-ФЗ «Об общих принципах организации местного самоуправления в Российской Федерации», от 29.12.2012г. № 273-ФЗ «Об образовании в Российской Федерации», Уставом </w:t>
      </w:r>
      <w:r w:rsidR="009C25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«Кетовский район» </w:t>
      </w:r>
      <w:r w:rsidR="00AF298B">
        <w:rPr>
          <w:rFonts w:ascii="Times New Roman" w:hAnsi="Times New Roman" w:cs="Times New Roman"/>
          <w:sz w:val="24"/>
          <w:szCs w:val="24"/>
        </w:rPr>
        <w:t>Администрация  Кетовского района</w:t>
      </w:r>
      <w:r w:rsidRPr="009D117B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9D117B">
        <w:rPr>
          <w:rFonts w:ascii="Times New Roman" w:hAnsi="Times New Roman" w:cs="Times New Roman"/>
          <w:spacing w:val="70"/>
          <w:sz w:val="24"/>
          <w:szCs w:val="24"/>
        </w:rPr>
        <w:t>:</w:t>
      </w:r>
    </w:p>
    <w:p w:rsidR="009D117B" w:rsidRDefault="009D117B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1. Утвердить   </w:t>
      </w:r>
      <w:r w:rsidR="008A2408" w:rsidRPr="008A2408">
        <w:rPr>
          <w:rFonts w:ascii="Times New Roman" w:hAnsi="Times New Roman" w:cs="Times New Roman"/>
          <w:sz w:val="24"/>
          <w:szCs w:val="24"/>
        </w:rPr>
        <w:t>Поряд</w:t>
      </w:r>
      <w:r w:rsidR="00A21BB2">
        <w:rPr>
          <w:rFonts w:ascii="Times New Roman" w:hAnsi="Times New Roman" w:cs="Times New Roman"/>
          <w:sz w:val="24"/>
          <w:szCs w:val="24"/>
        </w:rPr>
        <w:t>ок</w:t>
      </w:r>
      <w:r w:rsidR="008A2408" w:rsidRPr="008A2408">
        <w:rPr>
          <w:rFonts w:ascii="Times New Roman" w:hAnsi="Times New Roman" w:cs="Times New Roman"/>
          <w:sz w:val="24"/>
          <w:szCs w:val="24"/>
        </w:rPr>
        <w:t xml:space="preserve"> начисления, взимания и расходования  платы, взимаемой с  родителей (законных представителей) за присмотр и уход за детьми в муниципальных казенных образовательных учреждениях Кетовского района</w:t>
      </w:r>
      <w:r w:rsidR="009C2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54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C25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9D11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17B" w:rsidRPr="009D117B" w:rsidRDefault="00A62C71" w:rsidP="00AB2AEB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117B" w:rsidRPr="009D117B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8A2408">
        <w:rPr>
          <w:rFonts w:ascii="Times New Roman" w:hAnsi="Times New Roman" w:cs="Times New Roman"/>
          <w:sz w:val="24"/>
          <w:szCs w:val="24"/>
        </w:rPr>
        <w:t xml:space="preserve"> Кетовского района от</w:t>
      </w:r>
      <w:r w:rsidR="005B1D34">
        <w:rPr>
          <w:rFonts w:ascii="Times New Roman" w:hAnsi="Times New Roman" w:cs="Times New Roman"/>
          <w:sz w:val="24"/>
          <w:szCs w:val="24"/>
        </w:rPr>
        <w:t xml:space="preserve"> 07.04.2016 </w:t>
      </w:r>
      <w:r w:rsidR="009D117B" w:rsidRPr="009D117B">
        <w:rPr>
          <w:rFonts w:ascii="Times New Roman" w:hAnsi="Times New Roman" w:cs="Times New Roman"/>
          <w:sz w:val="24"/>
          <w:szCs w:val="24"/>
        </w:rPr>
        <w:t>г. №</w:t>
      </w:r>
      <w:r w:rsidR="005B1D34">
        <w:rPr>
          <w:rFonts w:ascii="Times New Roman" w:hAnsi="Times New Roman" w:cs="Times New Roman"/>
          <w:sz w:val="24"/>
          <w:szCs w:val="24"/>
        </w:rPr>
        <w:t xml:space="preserve"> </w:t>
      </w:r>
      <w:r w:rsidR="005263DC">
        <w:rPr>
          <w:rFonts w:ascii="Times New Roman" w:hAnsi="Times New Roman" w:cs="Times New Roman"/>
          <w:sz w:val="24"/>
          <w:szCs w:val="24"/>
        </w:rPr>
        <w:t>639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учреждениях Кетовского района» признать утратившим силу.</w:t>
      </w:r>
      <w:proofErr w:type="gramEnd"/>
    </w:p>
    <w:p w:rsidR="009D117B" w:rsidRPr="009D117B" w:rsidRDefault="00A62C71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117B" w:rsidRPr="009D117B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9D117B" w:rsidRPr="009D117B">
        <w:rPr>
          <w:rFonts w:ascii="Times New Roman" w:hAnsi="Times New Roman" w:cs="Times New Roman"/>
          <w:sz w:val="24"/>
          <w:szCs w:val="24"/>
        </w:rPr>
        <w:t>.</w:t>
      </w:r>
    </w:p>
    <w:p w:rsidR="009D117B" w:rsidRPr="009D117B" w:rsidRDefault="00A62C71" w:rsidP="009D1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117B" w:rsidRPr="009D1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117B" w:rsidRPr="009D117B">
        <w:rPr>
          <w:rFonts w:ascii="Times New Roman" w:hAnsi="Times New Roman" w:cs="Times New Roman"/>
          <w:sz w:val="24"/>
          <w:szCs w:val="24"/>
        </w:rPr>
        <w:t xml:space="preserve"> </w:t>
      </w:r>
      <w:r w:rsidR="00AF298B">
        <w:rPr>
          <w:rFonts w:ascii="Times New Roman" w:hAnsi="Times New Roman" w:cs="Times New Roman"/>
          <w:sz w:val="24"/>
          <w:szCs w:val="24"/>
        </w:rPr>
        <w:t>исполнением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A2408">
        <w:rPr>
          <w:rFonts w:ascii="Times New Roman" w:hAnsi="Times New Roman" w:cs="Times New Roman"/>
          <w:sz w:val="24"/>
          <w:szCs w:val="24"/>
        </w:rPr>
        <w:t xml:space="preserve">ервого  </w:t>
      </w:r>
      <w:r w:rsidR="009D117B" w:rsidRPr="009D117B">
        <w:rPr>
          <w:rFonts w:ascii="Times New Roman" w:hAnsi="Times New Roman" w:cs="Times New Roman"/>
          <w:sz w:val="24"/>
          <w:szCs w:val="24"/>
        </w:rPr>
        <w:t>заместителя Главы Кетовског</w:t>
      </w:r>
      <w:r>
        <w:rPr>
          <w:rFonts w:ascii="Times New Roman" w:hAnsi="Times New Roman" w:cs="Times New Roman"/>
          <w:sz w:val="24"/>
          <w:szCs w:val="24"/>
        </w:rPr>
        <w:t>о района по социальной политике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Глава Кетовского района                                                       </w:t>
      </w:r>
      <w:r w:rsidR="009363B7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AF4D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363B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A2408">
        <w:rPr>
          <w:rFonts w:ascii="Times New Roman" w:hAnsi="Times New Roman" w:cs="Times New Roman"/>
          <w:bCs/>
          <w:sz w:val="24"/>
          <w:szCs w:val="24"/>
        </w:rPr>
        <w:t>В.В. Архипов</w:t>
      </w: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0363" w:rsidRDefault="005B0363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62C71" w:rsidRDefault="00A62C71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62C71" w:rsidRDefault="00A62C71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15108" w:rsidRDefault="00915108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F4D06" w:rsidRPr="00AF4D06" w:rsidRDefault="00AF4D06" w:rsidP="00AF4D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F4D06"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 w:rsidRPr="00AF4D0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AF4D06" w:rsidRPr="00AF4D06" w:rsidRDefault="00AF4D06" w:rsidP="00AF4D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4D06">
        <w:rPr>
          <w:rFonts w:ascii="Times New Roman" w:hAnsi="Times New Roman" w:cs="Times New Roman"/>
          <w:sz w:val="20"/>
          <w:szCs w:val="20"/>
        </w:rPr>
        <w:t>2-38-30</w:t>
      </w:r>
    </w:p>
    <w:p w:rsidR="0042341C" w:rsidRPr="00AF4D06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623" w:type="dxa"/>
        <w:tblLook w:val="01E0"/>
      </w:tblPr>
      <w:tblGrid>
        <w:gridCol w:w="4814"/>
        <w:gridCol w:w="4809"/>
      </w:tblGrid>
      <w:tr w:rsidR="00C76B08" w:rsidRPr="00427F60" w:rsidTr="00C76B08">
        <w:trPr>
          <w:trHeight w:val="3993"/>
        </w:trPr>
        <w:tc>
          <w:tcPr>
            <w:tcW w:w="4814" w:type="dxa"/>
          </w:tcPr>
          <w:p w:rsidR="00C76B08" w:rsidRPr="0027327B" w:rsidRDefault="00C76B08" w:rsidP="00E879B4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C76B08" w:rsidRPr="00C76B08" w:rsidRDefault="00C76B08" w:rsidP="00473DC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FF02C4" w:rsidRDefault="00C76B08" w:rsidP="00473D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остановлению Администраци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Кетовского района   </w:t>
            </w:r>
          </w:p>
          <w:p w:rsidR="00C76B08" w:rsidRDefault="00C76B08" w:rsidP="00473D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0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10D5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0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 </w:t>
            </w:r>
            <w:r w:rsidR="00510D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76B08" w:rsidRPr="00C76B08" w:rsidRDefault="00C76B08" w:rsidP="00473DC7">
            <w:pPr>
              <w:tabs>
                <w:tab w:val="left" w:pos="3828"/>
              </w:tabs>
              <w:spacing w:after="0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08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                                           начисления, взимания и расходования  платы, взимаемой с  родителей (законных представителей) за присмотр и уход за детьми в муниципальных казенных образовательных учреждениях Кетовского района»</w:t>
            </w:r>
          </w:p>
        </w:tc>
      </w:tr>
    </w:tbl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D117B" w:rsidRPr="00C76B08" w:rsidRDefault="006119BC" w:rsidP="00C76B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B036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D117B" w:rsidRPr="009D117B" w:rsidRDefault="008A2408" w:rsidP="009A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5B1D34">
        <w:rPr>
          <w:rFonts w:ascii="Times New Roman" w:hAnsi="Times New Roman" w:cs="Times New Roman"/>
          <w:b/>
          <w:sz w:val="24"/>
          <w:szCs w:val="24"/>
        </w:rPr>
        <w:t xml:space="preserve">начисления,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взимания и расходования 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платы</w:t>
      </w:r>
      <w:r w:rsidRPr="009D117B">
        <w:rPr>
          <w:rFonts w:ascii="Times New Roman" w:hAnsi="Times New Roman" w:cs="Times New Roman"/>
          <w:b/>
          <w:sz w:val="24"/>
          <w:szCs w:val="24"/>
        </w:rPr>
        <w:t>, взимаемой с  родителей (законных представителей) за присмотр и уход за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муниципальных казенных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учреждениях Кетовского района</w:t>
      </w:r>
    </w:p>
    <w:p w:rsidR="008A2408" w:rsidRDefault="008A2408" w:rsidP="009A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7B" w:rsidRPr="009D117B" w:rsidRDefault="009D117B" w:rsidP="009A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І. Общие положения.</w:t>
      </w:r>
    </w:p>
    <w:p w:rsidR="00C76B08" w:rsidRDefault="00C76B08" w:rsidP="00C76B08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780" w:rsidRDefault="009D117B" w:rsidP="00133780">
      <w:pPr>
        <w:pStyle w:val="a7"/>
        <w:numPr>
          <w:ilvl w:val="1"/>
          <w:numId w:val="3"/>
        </w:numPr>
        <w:spacing w:after="0"/>
        <w:ind w:left="-142" w:firstLine="9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4DD">
        <w:rPr>
          <w:rFonts w:ascii="Times New Roman" w:hAnsi="Times New Roman" w:cs="Times New Roman"/>
          <w:sz w:val="24"/>
          <w:szCs w:val="24"/>
        </w:rPr>
        <w:t>Настоящ</w:t>
      </w:r>
      <w:r w:rsidR="008A2408" w:rsidRPr="000464DD">
        <w:rPr>
          <w:rFonts w:ascii="Times New Roman" w:hAnsi="Times New Roman" w:cs="Times New Roman"/>
          <w:sz w:val="24"/>
          <w:szCs w:val="24"/>
        </w:rPr>
        <w:t>ий порядок разработан</w:t>
      </w:r>
      <w:r w:rsidRPr="000464D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 w:rsidR="008A2408" w:rsidRPr="000464DD">
        <w:rPr>
          <w:rFonts w:ascii="Times New Roman" w:hAnsi="Times New Roman" w:cs="Times New Roman"/>
          <w:sz w:val="24"/>
          <w:szCs w:val="24"/>
        </w:rPr>
        <w:t>и закона</w:t>
      </w:r>
      <w:r w:rsidRPr="000464DD">
        <w:rPr>
          <w:rFonts w:ascii="Times New Roman" w:hAnsi="Times New Roman" w:cs="Times New Roman"/>
          <w:sz w:val="24"/>
          <w:szCs w:val="24"/>
        </w:rPr>
        <w:t>м</w:t>
      </w:r>
      <w:r w:rsidR="008A2408" w:rsidRPr="000464DD">
        <w:rPr>
          <w:rFonts w:ascii="Times New Roman" w:hAnsi="Times New Roman" w:cs="Times New Roman"/>
          <w:sz w:val="24"/>
          <w:szCs w:val="24"/>
        </w:rPr>
        <w:t>и</w:t>
      </w:r>
      <w:r w:rsidRPr="000464DD">
        <w:rPr>
          <w:rFonts w:ascii="Times New Roman" w:hAnsi="Times New Roman" w:cs="Times New Roman"/>
          <w:sz w:val="24"/>
          <w:szCs w:val="24"/>
        </w:rPr>
        <w:t xml:space="preserve"> от 06.10.2003 г. № 131 – ФЗ «Об общих принципах организации местного самоуправления в Российской Федерации», от 29.12.2012</w:t>
      </w:r>
      <w:r w:rsidR="007249BF" w:rsidRPr="000464DD">
        <w:rPr>
          <w:rFonts w:ascii="Times New Roman" w:hAnsi="Times New Roman" w:cs="Times New Roman"/>
          <w:sz w:val="24"/>
          <w:szCs w:val="24"/>
        </w:rPr>
        <w:t xml:space="preserve"> </w:t>
      </w:r>
      <w:r w:rsidRPr="000464DD">
        <w:rPr>
          <w:rFonts w:ascii="Times New Roman" w:hAnsi="Times New Roman" w:cs="Times New Roman"/>
          <w:sz w:val="24"/>
          <w:szCs w:val="24"/>
        </w:rPr>
        <w:t xml:space="preserve">г. № 273-ФЗ «Об образовании в Российской Федерации, </w:t>
      </w:r>
      <w:r w:rsidR="00AB2AEB" w:rsidRPr="009D117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B2AEB">
        <w:rPr>
          <w:rFonts w:ascii="Times New Roman" w:hAnsi="Times New Roman" w:cs="Times New Roman"/>
          <w:sz w:val="24"/>
          <w:szCs w:val="24"/>
        </w:rPr>
        <w:t>муниципального образования «Кетовский район»</w:t>
      </w:r>
      <w:r w:rsidR="007249BF" w:rsidRPr="000464DD">
        <w:rPr>
          <w:rFonts w:ascii="Times New Roman" w:hAnsi="Times New Roman" w:cs="Times New Roman"/>
          <w:sz w:val="24"/>
          <w:szCs w:val="24"/>
        </w:rPr>
        <w:t xml:space="preserve">, в целях обеспечения экономически обоснованного распределения затрат за присмотр и уход за детьми в образовательных учреждениях, с учетом реализации </w:t>
      </w:r>
      <w:r w:rsidR="000464DD" w:rsidRPr="000464DD">
        <w:rPr>
          <w:rFonts w:ascii="Times New Roman" w:hAnsi="Times New Roman" w:cs="Times New Roman"/>
          <w:sz w:val="24"/>
          <w:szCs w:val="24"/>
        </w:rPr>
        <w:t>конституционных гарантий общедоступности и бесплатности</w:t>
      </w:r>
      <w:proofErr w:type="gramEnd"/>
      <w:r w:rsidR="000464DD" w:rsidRPr="000464D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proofErr w:type="gramStart"/>
      <w:r w:rsidR="000464DD" w:rsidRPr="000464DD">
        <w:rPr>
          <w:rFonts w:ascii="Times New Roman" w:hAnsi="Times New Roman" w:cs="Times New Roman"/>
          <w:sz w:val="24"/>
          <w:szCs w:val="24"/>
        </w:rPr>
        <w:t>.</w:t>
      </w:r>
      <w:r w:rsidR="001337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780" w:rsidRDefault="000464DD" w:rsidP="009A7523">
      <w:pPr>
        <w:pStyle w:val="a7"/>
        <w:numPr>
          <w:ilvl w:val="1"/>
          <w:numId w:val="3"/>
        </w:numPr>
        <w:spacing w:after="0"/>
        <w:ind w:left="-142" w:firstLine="9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регулирует вопросы начисления, взимания и расходования платы, взимаемой с родителей (законных представителей) за присмотр и уход за детьми (далее – родительская плата) в муниципальных казенных образовательных учреждениях Кетовского района.</w:t>
      </w:r>
    </w:p>
    <w:p w:rsidR="00133780" w:rsidRDefault="009D117B" w:rsidP="00133780">
      <w:pPr>
        <w:pStyle w:val="a7"/>
        <w:spacing w:after="0"/>
        <w:ind w:left="-142" w:firstLine="9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780">
        <w:rPr>
          <w:rFonts w:ascii="Times New Roman" w:hAnsi="Times New Roman" w:cs="Times New Roman"/>
          <w:bCs/>
          <w:sz w:val="24"/>
          <w:szCs w:val="24"/>
        </w:rPr>
        <w:t>1.3</w:t>
      </w:r>
      <w:r w:rsidR="000464DD" w:rsidRPr="001337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3780">
        <w:rPr>
          <w:rFonts w:ascii="Times New Roman" w:hAnsi="Times New Roman" w:cs="Times New Roman"/>
          <w:bCs/>
          <w:sz w:val="24"/>
          <w:szCs w:val="24"/>
        </w:rPr>
        <w:t xml:space="preserve"> Под присмотром и уходом за детьми понимается комплекс мер по организации питания и хозяйственно-бытового обслуживания детей, обеспечению соблюдени</w:t>
      </w:r>
      <w:r w:rsidR="00BA2A63" w:rsidRPr="00133780">
        <w:rPr>
          <w:rFonts w:ascii="Times New Roman" w:hAnsi="Times New Roman" w:cs="Times New Roman"/>
          <w:bCs/>
          <w:sz w:val="24"/>
          <w:szCs w:val="24"/>
        </w:rPr>
        <w:t>я</w:t>
      </w:r>
      <w:r w:rsidRPr="00133780">
        <w:rPr>
          <w:rFonts w:ascii="Times New Roman" w:hAnsi="Times New Roman" w:cs="Times New Roman"/>
          <w:bCs/>
          <w:sz w:val="24"/>
          <w:szCs w:val="24"/>
        </w:rPr>
        <w:t xml:space="preserve"> ими личной гигиены и режима дня.</w:t>
      </w:r>
    </w:p>
    <w:p w:rsidR="009D117B" w:rsidRPr="006119BC" w:rsidRDefault="000464DD" w:rsidP="00133780">
      <w:pPr>
        <w:pStyle w:val="a7"/>
        <w:spacing w:after="0"/>
        <w:ind w:left="-142" w:firstLine="9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2873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2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случае реализации образовательных программ дошкольного образования в рамках федерального государственного </w:t>
      </w:r>
      <w:r w:rsidR="003119CD">
        <w:rPr>
          <w:rFonts w:ascii="Times New Roman" w:hAnsi="Times New Roman" w:cs="Times New Roman"/>
          <w:bCs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bCs/>
          <w:sz w:val="24"/>
          <w:szCs w:val="24"/>
        </w:rPr>
        <w:t>стандарта в группах кратковременного пребывания (в форме кратковременного пребывания), без оказания услуг по присмотру и уходу за детьми родительская плата не взимается.</w:t>
      </w:r>
    </w:p>
    <w:p w:rsidR="009D117B" w:rsidRPr="009D117B" w:rsidRDefault="009D117B" w:rsidP="009A75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9BC" w:rsidRDefault="00265266" w:rsidP="009A7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D117B" w:rsidRPr="009D117B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установления размера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родительской </w:t>
      </w:r>
      <w:r w:rsidR="009D117B" w:rsidRPr="009D117B">
        <w:rPr>
          <w:rFonts w:ascii="Times New Roman" w:hAnsi="Times New Roman" w:cs="Times New Roman"/>
          <w:b/>
          <w:bCs/>
          <w:sz w:val="24"/>
          <w:szCs w:val="24"/>
        </w:rPr>
        <w:t>платы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266" w:rsidRPr="009D117B" w:rsidRDefault="00265266" w:rsidP="009A7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780" w:rsidRDefault="00133780" w:rsidP="00133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</w:t>
      </w:r>
      <w:r w:rsidR="007046FB">
        <w:rPr>
          <w:rFonts w:ascii="Times New Roman" w:hAnsi="Times New Roman" w:cs="Times New Roman"/>
          <w:bCs/>
          <w:sz w:val="24"/>
          <w:szCs w:val="24"/>
        </w:rPr>
        <w:t>В</w:t>
      </w:r>
      <w:r w:rsidR="007046FB" w:rsidRPr="009D117B">
        <w:rPr>
          <w:rFonts w:ascii="Times New Roman" w:hAnsi="Times New Roman" w:cs="Times New Roman"/>
          <w:bCs/>
          <w:sz w:val="24"/>
          <w:szCs w:val="24"/>
        </w:rPr>
        <w:t xml:space="preserve"> целях определения размера платы, взимаемой с родителей (законных представителей) за </w:t>
      </w:r>
      <w:r w:rsidR="007046FB">
        <w:rPr>
          <w:rFonts w:ascii="Times New Roman" w:hAnsi="Times New Roman" w:cs="Times New Roman"/>
          <w:bCs/>
          <w:sz w:val="24"/>
          <w:szCs w:val="24"/>
        </w:rPr>
        <w:t>присмотр и уход за</w:t>
      </w:r>
      <w:r w:rsidR="007046FB" w:rsidRPr="00704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6FB" w:rsidRPr="009D117B">
        <w:rPr>
          <w:rFonts w:ascii="Times New Roman" w:hAnsi="Times New Roman" w:cs="Times New Roman"/>
          <w:bCs/>
          <w:sz w:val="24"/>
          <w:szCs w:val="24"/>
        </w:rPr>
        <w:t xml:space="preserve">детьми в муниципальных казенных образовательных учреждениях </w:t>
      </w:r>
      <w:r w:rsidR="003119CD">
        <w:rPr>
          <w:rFonts w:ascii="Times New Roman" w:hAnsi="Times New Roman" w:cs="Times New Roman"/>
          <w:bCs/>
          <w:sz w:val="24"/>
          <w:szCs w:val="24"/>
        </w:rPr>
        <w:t>Кетовского района, применяется П</w:t>
      </w:r>
      <w:r w:rsidR="007046FB">
        <w:rPr>
          <w:rFonts w:ascii="Times New Roman" w:hAnsi="Times New Roman" w:cs="Times New Roman"/>
          <w:bCs/>
          <w:sz w:val="24"/>
          <w:szCs w:val="24"/>
        </w:rPr>
        <w:t>орядок р</w:t>
      </w:r>
      <w:r w:rsidR="007046FB" w:rsidRPr="009D117B">
        <w:rPr>
          <w:rFonts w:ascii="Times New Roman" w:hAnsi="Times New Roman" w:cs="Times New Roman"/>
          <w:bCs/>
          <w:sz w:val="24"/>
          <w:szCs w:val="24"/>
        </w:rPr>
        <w:t>асчёт</w:t>
      </w:r>
      <w:r w:rsidR="007046FB">
        <w:rPr>
          <w:rFonts w:ascii="Times New Roman" w:hAnsi="Times New Roman" w:cs="Times New Roman"/>
          <w:bCs/>
          <w:sz w:val="24"/>
          <w:szCs w:val="24"/>
        </w:rPr>
        <w:t>а</w:t>
      </w:r>
      <w:r w:rsidR="00A62C71">
        <w:rPr>
          <w:rFonts w:ascii="Times New Roman" w:hAnsi="Times New Roman" w:cs="Times New Roman"/>
          <w:bCs/>
          <w:sz w:val="24"/>
          <w:szCs w:val="24"/>
        </w:rPr>
        <w:t xml:space="preserve"> норматива </w:t>
      </w:r>
      <w:r w:rsidR="00A62C71" w:rsidRPr="00A62C71">
        <w:rPr>
          <w:rFonts w:ascii="Times New Roman" w:hAnsi="Times New Roman" w:cs="Times New Roman"/>
          <w:bCs/>
          <w:sz w:val="24"/>
          <w:szCs w:val="24"/>
        </w:rPr>
        <w:t xml:space="preserve">затрат </w:t>
      </w:r>
      <w:r w:rsidR="007046FB" w:rsidRPr="00A62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C71" w:rsidRPr="00A62C71">
        <w:rPr>
          <w:rFonts w:ascii="Times New Roman" w:hAnsi="Times New Roman" w:cs="Times New Roman"/>
          <w:sz w:val="24"/>
          <w:szCs w:val="24"/>
        </w:rPr>
        <w:t>на оказание услуги по присмотру и уходу за детьми в муниципальных казенных образовательных учреждениях Кетовского района</w:t>
      </w:r>
      <w:r w:rsidR="00A62C7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D117B" w:rsidRPr="009D117B" w:rsidRDefault="00133780" w:rsidP="0013378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2C71">
        <w:rPr>
          <w:rFonts w:ascii="Times New Roman" w:hAnsi="Times New Roman" w:cs="Times New Roman"/>
          <w:sz w:val="24"/>
          <w:szCs w:val="24"/>
        </w:rPr>
        <w:t xml:space="preserve">2.2. </w:t>
      </w:r>
      <w:r w:rsidR="009D117B" w:rsidRPr="009D117B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</w:t>
      </w:r>
      <w:r w:rsidR="00265266">
        <w:rPr>
          <w:rFonts w:ascii="Times New Roman" w:hAnsi="Times New Roman" w:cs="Times New Roman"/>
          <w:sz w:val="24"/>
          <w:szCs w:val="24"/>
        </w:rPr>
        <w:t xml:space="preserve"> 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 в муниципальных казенных образовательных учреждениях Кетовского </w:t>
      </w:r>
      <w:r w:rsidR="009D117B" w:rsidRPr="009D117B">
        <w:rPr>
          <w:rFonts w:ascii="Times New Roman" w:hAnsi="Times New Roman" w:cs="Times New Roman"/>
          <w:sz w:val="24"/>
          <w:szCs w:val="24"/>
        </w:rPr>
        <w:lastRenderedPageBreak/>
        <w:t>района, утверждается постановлением Администрации Кетовского района и может изменяться не чаще 1 раза в год.</w:t>
      </w:r>
    </w:p>
    <w:p w:rsidR="009D117B" w:rsidRPr="00A21BB2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62C71">
        <w:rPr>
          <w:rFonts w:ascii="Times New Roman" w:hAnsi="Times New Roman" w:cs="Times New Roman"/>
          <w:bCs/>
          <w:sz w:val="24"/>
          <w:szCs w:val="24"/>
        </w:rPr>
        <w:t>2.3.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7B" w:rsidRPr="00A21BB2">
        <w:rPr>
          <w:rFonts w:ascii="Times New Roman" w:hAnsi="Times New Roman" w:cs="Times New Roman"/>
          <w:bCs/>
          <w:sz w:val="24"/>
          <w:szCs w:val="24"/>
        </w:rPr>
        <w:t>В расчёт размера родительской платы не допускается включение расходов</w:t>
      </w:r>
      <w:r w:rsidR="00A21BB2" w:rsidRPr="00A21BB2">
        <w:rPr>
          <w:rFonts w:ascii="Times New Roman" w:hAnsi="Times New Roman" w:cs="Times New Roman"/>
          <w:bCs/>
          <w:sz w:val="24"/>
          <w:szCs w:val="24"/>
        </w:rPr>
        <w:t xml:space="preserve">, не связанных с присмотром и уходом, </w:t>
      </w:r>
      <w:r w:rsidR="009D117B" w:rsidRPr="00A21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9B8" w:rsidRPr="00A21BB2">
        <w:rPr>
          <w:rFonts w:ascii="Times New Roman" w:hAnsi="Times New Roman" w:cs="Times New Roman"/>
          <w:bCs/>
          <w:sz w:val="24"/>
          <w:szCs w:val="24"/>
        </w:rPr>
        <w:t>в соответствии с действующим законодательством</w:t>
      </w:r>
      <w:r w:rsidR="00CC32BB" w:rsidRPr="00A21BB2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62C71">
        <w:rPr>
          <w:rFonts w:ascii="Times New Roman" w:hAnsi="Times New Roman" w:cs="Times New Roman"/>
          <w:bCs/>
          <w:sz w:val="24"/>
          <w:szCs w:val="24"/>
        </w:rPr>
        <w:t>2.4.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 Родительская плата взимается на основании договора между</w:t>
      </w:r>
      <w:r w:rsidR="00265266">
        <w:rPr>
          <w:rFonts w:ascii="Times New Roman" w:hAnsi="Times New Roman" w:cs="Times New Roman"/>
          <w:bCs/>
          <w:sz w:val="24"/>
          <w:szCs w:val="24"/>
        </w:rPr>
        <w:t xml:space="preserve"> образовательным учреждением и 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 родителями (зак</w:t>
      </w:r>
      <w:r w:rsidR="00265266">
        <w:rPr>
          <w:rFonts w:ascii="Times New Roman" w:hAnsi="Times New Roman" w:cs="Times New Roman"/>
          <w:bCs/>
          <w:sz w:val="24"/>
          <w:szCs w:val="24"/>
        </w:rPr>
        <w:t>онными представителями) ребёнка, посещающего данное учреждение.</w:t>
      </w:r>
    </w:p>
    <w:p w:rsidR="00265266" w:rsidRP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62C71">
        <w:rPr>
          <w:rFonts w:ascii="Times New Roman" w:hAnsi="Times New Roman" w:cs="Times New Roman"/>
          <w:bCs/>
          <w:sz w:val="24"/>
          <w:szCs w:val="24"/>
        </w:rPr>
        <w:t>2.5.</w:t>
      </w:r>
      <w:r w:rsidR="00265266">
        <w:rPr>
          <w:rFonts w:ascii="Times New Roman" w:hAnsi="Times New Roman" w:cs="Times New Roman"/>
          <w:bCs/>
          <w:sz w:val="24"/>
          <w:szCs w:val="24"/>
        </w:rPr>
        <w:t xml:space="preserve"> Родительская плата не взимается в случаях предусмотренных действующим законодательством.</w:t>
      </w:r>
      <w:r w:rsidR="00AD7A9F" w:rsidRPr="00AD7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A9F">
        <w:rPr>
          <w:rFonts w:ascii="Times New Roman" w:hAnsi="Times New Roman" w:cs="Times New Roman"/>
          <w:bCs/>
          <w:sz w:val="24"/>
          <w:szCs w:val="24"/>
        </w:rPr>
        <w:t xml:space="preserve"> Освобождение от родительской платы производится с момента предоставления родителями (законными представителями) в образовательное учреждение документов, подтверждающих основание освобождения.</w:t>
      </w:r>
      <w:r w:rsidR="00CC32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515C" w:rsidRP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A515C">
        <w:rPr>
          <w:rFonts w:ascii="Times New Roman" w:hAnsi="Times New Roman" w:cs="Times New Roman"/>
          <w:bCs/>
          <w:sz w:val="24"/>
          <w:szCs w:val="24"/>
        </w:rPr>
        <w:t>2</w:t>
      </w:r>
      <w:r w:rsidR="00A62C71">
        <w:rPr>
          <w:rFonts w:ascii="Times New Roman" w:hAnsi="Times New Roman" w:cs="Times New Roman"/>
          <w:bCs/>
          <w:sz w:val="24"/>
          <w:szCs w:val="24"/>
        </w:rPr>
        <w:t>.6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. Руководители образовательных учреждений несут ответственность за несвоевременное ознакомление родителей (законных представи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телей) с льготами и правами по 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плате за присмотр и уход за ребенком.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515C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62C71">
        <w:rPr>
          <w:rFonts w:ascii="Times New Roman" w:hAnsi="Times New Roman" w:cs="Times New Roman"/>
          <w:bCs/>
          <w:sz w:val="24"/>
          <w:szCs w:val="24"/>
        </w:rPr>
        <w:t>2.7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>. Начисление платы производится в первый рабочий день текущего месяца согласно календарному графику работы образовательного учреждения и табеля учёта посещаемости детей.</w:t>
      </w:r>
    </w:p>
    <w:p w:rsidR="004A515C" w:rsidRP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62C71">
        <w:rPr>
          <w:rFonts w:ascii="Times New Roman" w:hAnsi="Times New Roman" w:cs="Times New Roman"/>
          <w:bCs/>
          <w:sz w:val="24"/>
          <w:szCs w:val="24"/>
        </w:rPr>
        <w:t>2.8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>. Родителями (законными представителями) оплачивается весь период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 с момента издания  приказа образовательного учреждения о  зачислении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 xml:space="preserve"> ребенка в образовательное учреждение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 до момента издания приказа образовательного учреждения об отчислении ребенка из образовательного учреждения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 xml:space="preserve">, за исключением периода закрытия учреждения на проведение плановых ремонтных работ. </w:t>
      </w:r>
    </w:p>
    <w:p w:rsidR="004A515C" w:rsidRPr="009D117B" w:rsidRDefault="004A515C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3378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При непосещении ребенком учреждения по причинам, не указанным в настоящей части, родительская плата взимается </w:t>
      </w:r>
      <w:r>
        <w:rPr>
          <w:rFonts w:ascii="Times New Roman" w:hAnsi="Times New Roman" w:cs="Times New Roman"/>
          <w:bCs/>
          <w:sz w:val="24"/>
          <w:szCs w:val="24"/>
        </w:rPr>
        <w:t>за исключением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затрат на продукты питания.</w:t>
      </w:r>
    </w:p>
    <w:p w:rsidR="004A515C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62C71">
        <w:rPr>
          <w:rFonts w:ascii="Times New Roman" w:hAnsi="Times New Roman" w:cs="Times New Roman"/>
          <w:bCs/>
          <w:sz w:val="24"/>
          <w:szCs w:val="24"/>
        </w:rPr>
        <w:t>2.9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 xml:space="preserve">. Родительская плата 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(в части затрат на приобретение продуктов питания) 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 xml:space="preserve">взимается за дни фактического посещения детьми образовательного учреждения. </w:t>
      </w:r>
      <w:r w:rsidR="004A515C">
        <w:rPr>
          <w:rFonts w:ascii="Times New Roman" w:hAnsi="Times New Roman" w:cs="Times New Roman"/>
          <w:bCs/>
          <w:sz w:val="24"/>
          <w:szCs w:val="24"/>
        </w:rPr>
        <w:t>За д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>ни, когда ребенок не посещал образовательное учреждение</w:t>
      </w:r>
      <w:r w:rsidR="004A515C">
        <w:rPr>
          <w:rFonts w:ascii="Times New Roman" w:hAnsi="Times New Roman" w:cs="Times New Roman"/>
          <w:bCs/>
          <w:sz w:val="24"/>
          <w:szCs w:val="24"/>
        </w:rPr>
        <w:t>,</w:t>
      </w:r>
      <w:r w:rsidR="004A515C" w:rsidRPr="00BB3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 xml:space="preserve">плата была произведена, производится перерасчет </w:t>
      </w:r>
      <w:r w:rsidR="004A515C">
        <w:rPr>
          <w:rFonts w:ascii="Times New Roman" w:hAnsi="Times New Roman" w:cs="Times New Roman"/>
          <w:bCs/>
          <w:sz w:val="24"/>
          <w:szCs w:val="24"/>
        </w:rPr>
        <w:t>(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>части затрат на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 приобретение продуктов питания)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табелем учета посещаемости и внесенной суммы, внесенная сум</w:t>
      </w:r>
      <w:r w:rsidR="004A515C">
        <w:rPr>
          <w:rFonts w:ascii="Times New Roman" w:hAnsi="Times New Roman" w:cs="Times New Roman"/>
          <w:bCs/>
          <w:sz w:val="24"/>
          <w:szCs w:val="24"/>
        </w:rPr>
        <w:t xml:space="preserve">ма учитывается при определении </w:t>
      </w:r>
      <w:r w:rsidR="004A515C" w:rsidRPr="009D117B">
        <w:rPr>
          <w:rFonts w:ascii="Times New Roman" w:hAnsi="Times New Roman" w:cs="Times New Roman"/>
          <w:bCs/>
          <w:sz w:val="24"/>
          <w:szCs w:val="24"/>
        </w:rPr>
        <w:t xml:space="preserve">платы следующего периода. </w:t>
      </w:r>
    </w:p>
    <w:p w:rsidR="009D117B" w:rsidRPr="009D117B" w:rsidRDefault="009D117B" w:rsidP="003119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117B" w:rsidRDefault="009D117B" w:rsidP="009A7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7B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B03DA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D11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3D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</w:t>
      </w:r>
      <w:r w:rsidR="008D6F9C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="00B03DA9">
        <w:rPr>
          <w:rFonts w:ascii="Times New Roman" w:hAnsi="Times New Roman" w:cs="Times New Roman"/>
          <w:b/>
          <w:bCs/>
          <w:sz w:val="24"/>
          <w:szCs w:val="24"/>
        </w:rPr>
        <w:t xml:space="preserve"> внесения родительской платы</w:t>
      </w:r>
    </w:p>
    <w:p w:rsidR="00D95F45" w:rsidRPr="00D95F45" w:rsidRDefault="00D95F45" w:rsidP="009A75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7B" w:rsidRP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D6F9C">
        <w:rPr>
          <w:rFonts w:ascii="Times New Roman" w:hAnsi="Times New Roman" w:cs="Times New Roman"/>
          <w:bCs/>
          <w:sz w:val="24"/>
          <w:szCs w:val="24"/>
        </w:rPr>
        <w:t>3.1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>. Родительская плата вносится в порядке и сроки, предусмотренные договором, заключенным между родителями (законными представителями) ребенка и образовательным учреждением, но не позднее 15 числа текущего месяца.</w:t>
      </w:r>
    </w:p>
    <w:p w:rsidR="009D117B" w:rsidRP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D6F9C">
        <w:rPr>
          <w:rFonts w:ascii="Times New Roman" w:hAnsi="Times New Roman" w:cs="Times New Roman"/>
          <w:bCs/>
          <w:sz w:val="24"/>
          <w:szCs w:val="24"/>
        </w:rPr>
        <w:t>3.2.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 В случае неоплаты родителями (законными представителями)  за присмотр и уход за детьми в течение  двух недель после установленного срока по неуважительной причине образовательное учреждение  вправе временно отказать родителям (законным представителям) в оказании услуги по присмотру и уходу  - до погашения долга. Образовательная услуга, по желанию родителей (законных представителей), в этот период оказывается без изменений. </w:t>
      </w:r>
    </w:p>
    <w:p w:rsidR="009D117B" w:rsidRP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D6F9C">
        <w:rPr>
          <w:rFonts w:ascii="Times New Roman" w:hAnsi="Times New Roman" w:cs="Times New Roman"/>
          <w:bCs/>
          <w:sz w:val="24"/>
          <w:szCs w:val="24"/>
        </w:rPr>
        <w:t>3.3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proofErr w:type="spellStart"/>
      <w:r w:rsidR="008D6F9C">
        <w:rPr>
          <w:rFonts w:ascii="Times New Roman" w:hAnsi="Times New Roman" w:cs="Times New Roman"/>
          <w:bCs/>
          <w:sz w:val="24"/>
          <w:szCs w:val="24"/>
        </w:rPr>
        <w:t>непоступления</w:t>
      </w:r>
      <w:proofErr w:type="spellEnd"/>
      <w:r w:rsidR="008D6F9C">
        <w:rPr>
          <w:rFonts w:ascii="Times New Roman" w:hAnsi="Times New Roman" w:cs="Times New Roman"/>
          <w:bCs/>
          <w:sz w:val="24"/>
          <w:szCs w:val="24"/>
        </w:rPr>
        <w:t xml:space="preserve"> родительской платы в образовательное учреждение в указанный срок к родителям (законным представителям) применяются меры, определенные действующим законодательством, договором между родителями (законными представителями) и образовательным учреждением.</w:t>
      </w:r>
    </w:p>
    <w:p w:rsidR="009D117B" w:rsidRPr="009D117B" w:rsidRDefault="00133780" w:rsidP="001337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D6F9C">
        <w:rPr>
          <w:rFonts w:ascii="Times New Roman" w:hAnsi="Times New Roman" w:cs="Times New Roman"/>
          <w:bCs/>
          <w:sz w:val="24"/>
          <w:szCs w:val="24"/>
        </w:rPr>
        <w:t>3.4</w:t>
      </w:r>
      <w:r w:rsidR="00230E9E">
        <w:rPr>
          <w:rFonts w:ascii="Times New Roman" w:hAnsi="Times New Roman" w:cs="Times New Roman"/>
          <w:bCs/>
          <w:sz w:val="24"/>
          <w:szCs w:val="24"/>
        </w:rPr>
        <w:t>.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 Настоящее положение учитывается  при заключении договора с родителями.</w:t>
      </w:r>
    </w:p>
    <w:p w:rsidR="009D117B" w:rsidRPr="00A62C71" w:rsidRDefault="00133780" w:rsidP="0013378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D6F9C">
        <w:rPr>
          <w:rFonts w:ascii="Times New Roman" w:hAnsi="Times New Roman" w:cs="Times New Roman"/>
          <w:sz w:val="24"/>
          <w:szCs w:val="24"/>
        </w:rPr>
        <w:t>3.5</w:t>
      </w:r>
      <w:r w:rsidR="009D117B" w:rsidRPr="009D117B">
        <w:rPr>
          <w:rFonts w:ascii="Times New Roman" w:hAnsi="Times New Roman" w:cs="Times New Roman"/>
          <w:sz w:val="24"/>
          <w:szCs w:val="24"/>
        </w:rPr>
        <w:t>. В целях материальной поддержки воспитания и обучения детей, посещающих   муниципальные казенные образовательные учреждения Кетовского района, реализующие образовательную программу дошкольного образования, родителям (законным представителям) выплачивается компенсация в соответствии с нормативными актами Курганской области. Размер компенсации составляет 20 процентов среднего размера родительской платы за присмотр и уход за детьми (далее – средний размер родительской платы), на первого ребенка, 50 процентов среднего размера родительской платы – на второго ребенка, 70 процентов среднего размера родительской платы – на третьего ребенка и последующих детей</w:t>
      </w:r>
      <w:r w:rsidR="0050778B">
        <w:rPr>
          <w:rFonts w:ascii="Times New Roman" w:hAnsi="Times New Roman" w:cs="Times New Roman"/>
          <w:sz w:val="24"/>
          <w:szCs w:val="24"/>
        </w:rPr>
        <w:t>.</w:t>
      </w:r>
    </w:p>
    <w:p w:rsidR="009D117B" w:rsidRPr="009D117B" w:rsidRDefault="00133780" w:rsidP="00133780">
      <w:pPr>
        <w:pStyle w:val="ConsPlusNormal"/>
        <w:widowControl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17B" w:rsidRPr="009D117B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плату за присмотр и уход за детьми в соответствующе</w:t>
      </w:r>
      <w:r w:rsidR="009A7523">
        <w:rPr>
          <w:rFonts w:ascii="Times New Roman" w:hAnsi="Times New Roman" w:cs="Times New Roman"/>
          <w:sz w:val="24"/>
          <w:szCs w:val="24"/>
        </w:rPr>
        <w:t>м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A7523">
        <w:rPr>
          <w:rFonts w:ascii="Times New Roman" w:hAnsi="Times New Roman" w:cs="Times New Roman"/>
          <w:sz w:val="24"/>
          <w:szCs w:val="24"/>
        </w:rPr>
        <w:t>м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 </w:t>
      </w:r>
      <w:r w:rsidR="009A7523">
        <w:rPr>
          <w:rFonts w:ascii="Times New Roman" w:hAnsi="Times New Roman" w:cs="Times New Roman"/>
          <w:sz w:val="24"/>
          <w:szCs w:val="24"/>
        </w:rPr>
        <w:t>учреждении</w:t>
      </w:r>
      <w:r w:rsidR="009D117B" w:rsidRPr="009D117B">
        <w:rPr>
          <w:rFonts w:ascii="Times New Roman" w:hAnsi="Times New Roman" w:cs="Times New Roman"/>
          <w:sz w:val="24"/>
          <w:szCs w:val="24"/>
        </w:rPr>
        <w:t>.</w:t>
      </w: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081" w:rsidRDefault="00B94081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9C6" w:rsidRDefault="00ED59C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DA9" w:rsidRDefault="00B03DA9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45" w:rsidRDefault="00D95F45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45" w:rsidRDefault="00D95F45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45" w:rsidRDefault="00D95F45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45" w:rsidRDefault="00D95F45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45" w:rsidRDefault="00D95F45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3" w:type="dxa"/>
        <w:tblLook w:val="01E0"/>
      </w:tblPr>
      <w:tblGrid>
        <w:gridCol w:w="4814"/>
        <w:gridCol w:w="4809"/>
      </w:tblGrid>
      <w:tr w:rsidR="00AB2AEB" w:rsidRPr="00C76B08" w:rsidTr="00E879B4">
        <w:trPr>
          <w:trHeight w:val="3993"/>
        </w:trPr>
        <w:tc>
          <w:tcPr>
            <w:tcW w:w="4814" w:type="dxa"/>
          </w:tcPr>
          <w:p w:rsidR="00AB2AEB" w:rsidRPr="0027327B" w:rsidRDefault="00AB2AEB" w:rsidP="00E879B4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B2AEB" w:rsidRPr="00C76B08" w:rsidRDefault="00AB2AEB" w:rsidP="00E879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AB2AEB" w:rsidRPr="00AB2AEB" w:rsidRDefault="00AB2AEB" w:rsidP="00AB2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«</w:t>
            </w:r>
            <w:r w:rsidRPr="00AB2AEB">
              <w:rPr>
                <w:rFonts w:ascii="Times New Roman" w:hAnsi="Times New Roman" w:cs="Times New Roman"/>
                <w:sz w:val="24"/>
                <w:szCs w:val="24"/>
              </w:rPr>
              <w:t xml:space="preserve">Порядку начисления, взимания и                                                            расходования  платы, взимаемой </w:t>
            </w:r>
            <w:proofErr w:type="gramStart"/>
            <w:r w:rsidRPr="00AB2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2AEB" w:rsidRPr="00AB2AEB" w:rsidRDefault="00AB2AEB" w:rsidP="00AB2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EB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за присмотр и уход за детьми в муниципальных казенных образовательных учреждениях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AEB" w:rsidRPr="00C76B08" w:rsidRDefault="00AB2AEB" w:rsidP="00E879B4">
            <w:pPr>
              <w:tabs>
                <w:tab w:val="left" w:pos="3828"/>
              </w:tabs>
              <w:spacing w:after="0"/>
              <w:ind w:lef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F9C" w:rsidRPr="006119BC" w:rsidRDefault="008D6F9C" w:rsidP="00AB2A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DA9" w:rsidRPr="00CE0F98" w:rsidRDefault="00B03DA9" w:rsidP="00AB2AE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65266" w:rsidRPr="009D117B" w:rsidRDefault="00265266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Порядок расчёта норматива</w:t>
      </w:r>
    </w:p>
    <w:p w:rsidR="00265266" w:rsidRDefault="00265266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затрат на оказание услуги по присмотру и уходу за детьми в муниципальных казенных образовательных учреждениях Кетовского района</w:t>
      </w:r>
    </w:p>
    <w:p w:rsidR="008D6F9C" w:rsidRDefault="008D6F9C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AEB" w:rsidRDefault="00AB2AEB" w:rsidP="00AB2AE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8D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F9C" w:rsidRPr="000464DD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06.10.2003 г. № 131 – ФЗ «Об общих принципах организации местного самоуправления в Российской Федерации», от 29.12.2012 г. № 273-ФЗ «Об образовании в Российской Федерации, Уставом Кетовского района</w:t>
      </w:r>
      <w:r w:rsidR="00265266" w:rsidRPr="009D117B">
        <w:rPr>
          <w:rFonts w:ascii="Times New Roman" w:hAnsi="Times New Roman" w:cs="Times New Roman"/>
          <w:sz w:val="24"/>
          <w:szCs w:val="24"/>
        </w:rPr>
        <w:t>», письмами Министерства образования и науки Российской Федерации от 01.10.2013г. №08-1408 «О направлении методических рекомендаций по реализации полномочий органов государственной власти  субъектов Российской Федерации», от 31.07.2014</w:t>
      </w:r>
      <w:proofErr w:type="gramEnd"/>
      <w:r w:rsidR="00265266" w:rsidRPr="009D117B">
        <w:rPr>
          <w:rFonts w:ascii="Times New Roman" w:hAnsi="Times New Roman" w:cs="Times New Roman"/>
          <w:sz w:val="24"/>
          <w:szCs w:val="24"/>
        </w:rPr>
        <w:t>г. №08-1002 «О направлении методических рекомендаций</w:t>
      </w:r>
      <w:r w:rsidR="00265266" w:rsidRPr="006119BC">
        <w:rPr>
          <w:rFonts w:ascii="Times New Roman" w:hAnsi="Times New Roman" w:cs="Times New Roman"/>
          <w:sz w:val="24"/>
          <w:szCs w:val="24"/>
        </w:rPr>
        <w:t xml:space="preserve"> </w:t>
      </w:r>
      <w:r w:rsidR="00265266" w:rsidRPr="009D117B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 w:rsidR="00265266" w:rsidRPr="009D117B">
        <w:rPr>
          <w:rFonts w:ascii="Times New Roman" w:hAnsi="Times New Roman" w:cs="Times New Roman"/>
          <w:sz w:val="24"/>
          <w:szCs w:val="24"/>
        </w:rPr>
        <w:t>полномочий органов государственной власти  субъектов Российской Федерации</w:t>
      </w:r>
      <w:proofErr w:type="gramEnd"/>
      <w:r w:rsidR="00265266" w:rsidRPr="009D11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266" w:rsidRPr="00AB2AEB" w:rsidRDefault="00AB2AEB" w:rsidP="00AB2AE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1.2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. Расчёт норматива затрат за присмотр и уход за детьми в муниципальных казенных образовательных учреждениях Кетовского района, применяется в целях определения размера платы, взимаемой с родителей (законных представителей) за указанные услуги.</w:t>
      </w:r>
    </w:p>
    <w:p w:rsidR="00265266" w:rsidRPr="009D117B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1.3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. Затраты на оказание услуги по присмотру и уходу за детьми – объем финансовых сре</w:t>
      </w:r>
      <w:proofErr w:type="gramStart"/>
      <w:r w:rsidR="00265266" w:rsidRPr="009D117B">
        <w:rPr>
          <w:rFonts w:ascii="Times New Roman" w:hAnsi="Times New Roman" w:cs="Times New Roman"/>
          <w:bCs/>
          <w:sz w:val="24"/>
          <w:szCs w:val="24"/>
        </w:rPr>
        <w:t>дств в г</w:t>
      </w:r>
      <w:proofErr w:type="gramEnd"/>
      <w:r w:rsidR="00265266" w:rsidRPr="009D117B">
        <w:rPr>
          <w:rFonts w:ascii="Times New Roman" w:hAnsi="Times New Roman" w:cs="Times New Roman"/>
          <w:bCs/>
          <w:sz w:val="24"/>
          <w:szCs w:val="24"/>
        </w:rPr>
        <w:t>од в расчете на одного воспитанника, необходимой для оказания услуг по присмотру и уходу за детьми, осуществляемых образовательным учреждением, включая: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- расходы на приобретение продуктов питания;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65266" w:rsidRPr="009D117B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1.4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. Расчёт затрат на оказание услуги по присмотру и уходу за детьми (</w:t>
      </w:r>
      <w:proofErr w:type="gramStart"/>
      <w:r w:rsidR="00265266" w:rsidRPr="009D117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proofErr w:type="gramEnd"/>
      <w:r w:rsidR="00265266" w:rsidRPr="009D117B">
        <w:rPr>
          <w:rFonts w:ascii="Times New Roman" w:hAnsi="Times New Roman" w:cs="Times New Roman"/>
          <w:bCs/>
          <w:sz w:val="24"/>
          <w:szCs w:val="24"/>
        </w:rPr>
        <w:t>пиу</w:t>
      </w:r>
      <w:proofErr w:type="spellEnd"/>
      <w:r w:rsidR="00265266" w:rsidRPr="009D117B">
        <w:rPr>
          <w:rFonts w:ascii="Times New Roman" w:hAnsi="Times New Roman" w:cs="Times New Roman"/>
          <w:bCs/>
          <w:sz w:val="24"/>
          <w:szCs w:val="24"/>
        </w:rPr>
        <w:t>), осуществляется по формуле:</w:t>
      </w:r>
    </w:p>
    <w:p w:rsidR="00265266" w:rsidRPr="009D117B" w:rsidRDefault="00265266" w:rsidP="002652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пиу=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пп+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норматив затрат на приобретение продуктов питания (пункт 2.3.1. настоящего Положения);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9D117B">
        <w:rPr>
          <w:rFonts w:ascii="Times New Roman" w:hAnsi="Times New Roman" w:cs="Times New Roman"/>
          <w:bCs/>
          <w:sz w:val="24"/>
          <w:szCs w:val="24"/>
        </w:rPr>
        <w:t>режима дня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личной гигиены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(пункт 2.3.2. настоящего Положения).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Затраты на прочие расходы являются фиксированной частью родительской платы и оплачиваются родителями (законными представителями) не зависимо от дней фактического посещения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Pr="009D117B">
        <w:rPr>
          <w:rFonts w:ascii="Times New Roman" w:hAnsi="Times New Roman" w:cs="Times New Roman"/>
          <w:bCs/>
          <w:sz w:val="24"/>
          <w:szCs w:val="24"/>
        </w:rPr>
        <w:t>за исключением периода закрытия учреждения на проведение плановых ремонтных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п. 4.3. настоящего Положения).</w:t>
      </w:r>
    </w:p>
    <w:p w:rsidR="00265266" w:rsidRPr="009D117B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1.4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proofErr w:type="gramStart"/>
      <w:r w:rsidR="00265266" w:rsidRPr="009D117B">
        <w:rPr>
          <w:rFonts w:ascii="Times New Roman" w:hAnsi="Times New Roman" w:cs="Times New Roman"/>
          <w:bCs/>
          <w:sz w:val="24"/>
          <w:szCs w:val="24"/>
        </w:rPr>
        <w:t>Нормативные затраты на приобретение продуктов питания  (</w:t>
      </w:r>
      <w:r w:rsidR="00265266"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="00265266" w:rsidRPr="009D117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265266" w:rsidRPr="009D117B">
        <w:rPr>
          <w:rFonts w:ascii="Times New Roman" w:hAnsi="Times New Roman" w:cs="Times New Roman"/>
          <w:bCs/>
          <w:sz w:val="24"/>
          <w:szCs w:val="24"/>
        </w:rPr>
        <w:t xml:space="preserve">) складываются из суточного рациона питания одного ребенка в соответствии с установленными нормами </w:t>
      </w:r>
      <w:proofErr w:type="spellStart"/>
      <w:r w:rsidR="00265266" w:rsidRPr="009D117B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265266" w:rsidRPr="009D117B">
        <w:rPr>
          <w:rFonts w:ascii="Times New Roman" w:hAnsi="Times New Roman" w:cs="Times New Roman"/>
          <w:bCs/>
          <w:sz w:val="24"/>
          <w:szCs w:val="24"/>
        </w:rPr>
        <w:t xml:space="preserve"> 2.4.1.3049-13 и дифференцирующего коэффициента, учитывающего режим пребывания воспитанников, планируемого количес</w:t>
      </w:r>
      <w:r w:rsidR="00265266">
        <w:rPr>
          <w:rFonts w:ascii="Times New Roman" w:hAnsi="Times New Roman" w:cs="Times New Roman"/>
          <w:bCs/>
          <w:sz w:val="24"/>
          <w:szCs w:val="24"/>
        </w:rPr>
        <w:t>тв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а дней посещения одним ребенком образовательного учреждения в месяц, ценами на продукты питания, сложившимися на начало планового финансового года:</w:t>
      </w:r>
      <w:proofErr w:type="gramEnd"/>
    </w:p>
    <w:p w:rsidR="00265266" w:rsidRPr="009D117B" w:rsidRDefault="00265266" w:rsidP="002652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D117B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="004D32E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4D32EF" w:rsidRPr="009D1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17B">
        <w:rPr>
          <w:rFonts w:ascii="Times New Roman" w:hAnsi="Times New Roman" w:cs="Times New Roman"/>
          <w:bCs/>
          <w:sz w:val="24"/>
          <w:szCs w:val="24"/>
        </w:rPr>
        <w:t>*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D117B">
        <w:rPr>
          <w:rFonts w:ascii="Times New Roman" w:hAnsi="Times New Roman" w:cs="Times New Roman"/>
          <w:bCs/>
          <w:sz w:val="24"/>
          <w:szCs w:val="24"/>
        </w:rPr>
        <w:t>*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D117B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рыночная стоимость приобретения единицы 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-го продукта из рациона потребления детей, рублей на плановый период;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суточный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объем потребления 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-го продукта в рационе детей, единиц;</w:t>
      </w:r>
    </w:p>
    <w:p w:rsidR="00265266" w:rsidRPr="009D117B" w:rsidRDefault="00D35EC8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35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– коэффициент, учитывающий режим пребывания воспитанников</w:t>
      </w:r>
      <w:r w:rsidRPr="00D35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равный 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,75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;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</w:rPr>
        <w:t>планируемое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количество дней посещения одним ребенком образовательного учреждения в месяц.</w:t>
      </w:r>
    </w:p>
    <w:p w:rsidR="00265266" w:rsidRPr="009D117B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1.4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265266">
        <w:rPr>
          <w:rFonts w:ascii="Times New Roman" w:hAnsi="Times New Roman" w:cs="Times New Roman"/>
          <w:bCs/>
          <w:sz w:val="24"/>
          <w:szCs w:val="24"/>
        </w:rPr>
        <w:t xml:space="preserve"> 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образования.</w:t>
      </w:r>
    </w:p>
    <w:p w:rsidR="00265266" w:rsidRPr="009D117B" w:rsidRDefault="00265266" w:rsidP="002652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хоз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. + </w:t>
      </w: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лич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. + </w:t>
      </w:r>
      <w:proofErr w:type="gram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9D117B">
        <w:rPr>
          <w:rFonts w:ascii="Times New Roman" w:hAnsi="Times New Roman" w:cs="Times New Roman"/>
          <w:bCs/>
          <w:sz w:val="24"/>
          <w:szCs w:val="24"/>
        </w:rPr>
        <w:t xml:space="preserve"> где: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хоз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 – затраты на хозяйственно-бытовое обслуживание;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лич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 – затраты на обеспечение соблюдения личной гигиены;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117B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9D117B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9D117B">
        <w:rPr>
          <w:rFonts w:ascii="Times New Roman" w:hAnsi="Times New Roman" w:cs="Times New Roman"/>
          <w:bCs/>
          <w:sz w:val="24"/>
          <w:szCs w:val="24"/>
        </w:rPr>
        <w:t>. – затраты на соблюдение режима дня.</w:t>
      </w:r>
      <w:proofErr w:type="gramEnd"/>
    </w:p>
    <w:p w:rsidR="00265266" w:rsidRPr="009D117B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1.4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 xml:space="preserve">.2.1. Расчёт затрат, связанных с приобретением расходных материалов на хозяйственно-бытовое обслуживание на </w:t>
      </w:r>
      <w:r w:rsidR="00D35EC8">
        <w:rPr>
          <w:rFonts w:ascii="Times New Roman" w:hAnsi="Times New Roman" w:cs="Times New Roman"/>
          <w:bCs/>
          <w:sz w:val="24"/>
          <w:szCs w:val="24"/>
        </w:rPr>
        <w:t>1 ребенка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EC8">
        <w:rPr>
          <w:rFonts w:ascii="Times New Roman" w:hAnsi="Times New Roman" w:cs="Times New Roman"/>
          <w:bCs/>
          <w:sz w:val="24"/>
          <w:szCs w:val="24"/>
        </w:rPr>
        <w:t>в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 xml:space="preserve"> месяц: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7"/>
        <w:gridCol w:w="1801"/>
        <w:gridCol w:w="1801"/>
        <w:gridCol w:w="1104"/>
        <w:gridCol w:w="1517"/>
      </w:tblGrid>
      <w:tr w:rsidR="00265266" w:rsidRPr="009D117B" w:rsidTr="001015AD">
        <w:trPr>
          <w:trHeight w:val="670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инвентаря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 (</w:t>
            </w: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3*ст4)</w:t>
            </w:r>
          </w:p>
        </w:tc>
      </w:tr>
      <w:tr w:rsidR="00265266" w:rsidRPr="009D117B" w:rsidTr="001015AD">
        <w:trPr>
          <w:trHeight w:val="28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5266" w:rsidRPr="009D117B" w:rsidTr="001015AD">
        <w:trPr>
          <w:trHeight w:val="301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015AD">
        <w:trPr>
          <w:trHeight w:val="352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015AD">
        <w:trPr>
          <w:trHeight w:val="402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 кальцинированная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015AD">
        <w:trPr>
          <w:trHeight w:val="301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015AD">
        <w:trPr>
          <w:trHeight w:val="28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 питьевая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015AD">
        <w:trPr>
          <w:trHeight w:val="620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моющие средства ("гигиена", "</w:t>
            </w: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  др.)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C8" w:rsidRPr="009D117B" w:rsidTr="001015AD">
        <w:trPr>
          <w:trHeight w:val="467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хлорная известь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35EC8" w:rsidRPr="009D117B" w:rsidRDefault="00D35EC8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C8" w:rsidRPr="009D117B" w:rsidTr="001015AD">
        <w:trPr>
          <w:trHeight w:val="403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 для пола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35EC8" w:rsidRPr="009D117B" w:rsidRDefault="00D35EC8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C8" w:rsidRPr="009D117B" w:rsidTr="001015AD">
        <w:trPr>
          <w:trHeight w:val="395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D35EC8" w:rsidP="001015A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01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35EC8" w:rsidRPr="009D117B" w:rsidRDefault="00D35EC8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EC8" w:rsidRPr="009D117B" w:rsidTr="001015AD">
        <w:trPr>
          <w:trHeight w:val="387"/>
          <w:tblCellSpacing w:w="0" w:type="dxa"/>
          <w:jc w:val="center"/>
        </w:trPr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1015AD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ампы дневного света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1015AD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35EC8" w:rsidRPr="009D117B" w:rsidRDefault="001015AD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C8" w:rsidRPr="009D117B" w:rsidRDefault="00D35EC8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35EC8" w:rsidRPr="009D117B" w:rsidRDefault="00D35EC8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015AD">
        <w:trPr>
          <w:trHeight w:val="620"/>
          <w:tblCellSpacing w:w="0" w:type="dxa"/>
          <w:jc w:val="center"/>
        </w:trPr>
        <w:tc>
          <w:tcPr>
            <w:tcW w:w="7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65266" w:rsidRPr="009D117B" w:rsidRDefault="00265266" w:rsidP="001915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266" w:rsidRPr="009D117B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1.4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.2.2. Расчёт затрат, связанных с приобретением расходных материалов на обеспечение соблюдения личной гигиены одним ребенком на месяц: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8"/>
        <w:gridCol w:w="1895"/>
        <w:gridCol w:w="1760"/>
        <w:gridCol w:w="1781"/>
        <w:gridCol w:w="1506"/>
      </w:tblGrid>
      <w:tr w:rsidR="00265266" w:rsidRPr="009D117B" w:rsidTr="00191555">
        <w:trPr>
          <w:trHeight w:val="452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3*ст4)</w:t>
            </w:r>
          </w:p>
        </w:tc>
      </w:tr>
      <w:tr w:rsidR="00265266" w:rsidRPr="009D117B" w:rsidTr="00191555">
        <w:trPr>
          <w:trHeight w:val="335"/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5266" w:rsidRPr="009D117B" w:rsidTr="00191555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Туалетная бумага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91555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Туалетное мыло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91555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                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 (100 шт.)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91555">
        <w:trPr>
          <w:tblCellSpacing w:w="0" w:type="dxa"/>
          <w:jc w:val="center"/>
        </w:trPr>
        <w:tc>
          <w:tcPr>
            <w:tcW w:w="9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266" w:rsidRPr="009D117B" w:rsidRDefault="00265266" w:rsidP="002652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1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65266" w:rsidRPr="009D117B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1.4</w:t>
      </w:r>
      <w:r w:rsidR="00265266" w:rsidRPr="009D117B">
        <w:rPr>
          <w:rFonts w:ascii="Times New Roman" w:hAnsi="Times New Roman" w:cs="Times New Roman"/>
          <w:bCs/>
          <w:sz w:val="24"/>
          <w:szCs w:val="24"/>
        </w:rPr>
        <w:t>.2.3. Расчёт затрат, связанных с приобретением расходных материалов на соблюдение режима дня одним ребенком на месяц:</w:t>
      </w:r>
    </w:p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6"/>
        <w:gridCol w:w="1182"/>
        <w:gridCol w:w="1313"/>
        <w:gridCol w:w="1668"/>
        <w:gridCol w:w="1638"/>
        <w:gridCol w:w="932"/>
        <w:gridCol w:w="863"/>
      </w:tblGrid>
      <w:tr w:rsidR="00265266" w:rsidRPr="009D117B" w:rsidTr="00191555">
        <w:trPr>
          <w:tblHeader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использования</w:t>
            </w:r>
          </w:p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годах)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Количество/на месяц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(ст5</w:t>
            </w:r>
            <w:proofErr w:type="gramEnd"/>
          </w:p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*ст</w:t>
            </w:r>
            <w:proofErr w:type="gramStart"/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65266" w:rsidRPr="009D117B" w:rsidTr="00191555">
        <w:trPr>
          <w:tblHeader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Полотенце детское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Наволочка верхняя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Простыня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Пододеяльник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Покрывало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Матрац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Одеяло теплое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Одеяло байковое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 фаянсовая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глубокая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десертная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 чайная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столовый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Кастрюля эмалированная </w:t>
            </w:r>
            <w:smartTag w:uri="urn:schemas-microsoft-com:office:smarttags" w:element="metricconverter">
              <w:smartTagPr>
                <w:attr w:name="ProductID" w:val="4,5 л"/>
              </w:smartTagPr>
              <w:r w:rsidRPr="009D117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4,5 л</w:t>
              </w:r>
            </w:smartTag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Кастрюля</w:t>
            </w:r>
          </w:p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эмалированная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D117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л</w:t>
              </w:r>
            </w:smartTag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Ведро, эмалированное с крышкой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 эмалированный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Чайник эмалированный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оцинкованное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5266" w:rsidRPr="009D117B" w:rsidTr="00191555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266" w:rsidRPr="009D117B" w:rsidTr="00191555">
        <w:trPr>
          <w:trHeight w:val="496"/>
          <w:tblCellSpacing w:w="0" w:type="dxa"/>
        </w:trPr>
        <w:tc>
          <w:tcPr>
            <w:tcW w:w="8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proofErr w:type="spellStart"/>
            <w:proofErr w:type="gramStart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266" w:rsidRPr="009D117B" w:rsidRDefault="00265266" w:rsidP="0019155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65266" w:rsidRPr="009D117B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266" w:rsidRPr="005B0363" w:rsidRDefault="00AB2AEB" w:rsidP="00AB2A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0A58">
        <w:rPr>
          <w:rFonts w:ascii="Times New Roman" w:hAnsi="Times New Roman" w:cs="Times New Roman"/>
          <w:bCs/>
          <w:sz w:val="24"/>
          <w:szCs w:val="24"/>
        </w:rPr>
        <w:t>1.5</w:t>
      </w:r>
      <w:r w:rsidR="00265266" w:rsidRPr="005B0363">
        <w:rPr>
          <w:rFonts w:ascii="Times New Roman" w:hAnsi="Times New Roman" w:cs="Times New Roman"/>
          <w:bCs/>
          <w:sz w:val="24"/>
          <w:szCs w:val="24"/>
        </w:rPr>
        <w:t>. Муниципальное казенное образовательное учреждение  имеет право, по согласованию с Управляющим советом Учреждения, расходовать денежные средства, предусмотренные п.</w:t>
      </w:r>
      <w:r w:rsidR="00BE0A58">
        <w:rPr>
          <w:rFonts w:ascii="Times New Roman" w:hAnsi="Times New Roman" w:cs="Times New Roman"/>
          <w:bCs/>
          <w:sz w:val="24"/>
          <w:szCs w:val="24"/>
        </w:rPr>
        <w:t>1.4.1.</w:t>
      </w:r>
      <w:r w:rsidR="00265266" w:rsidRPr="005B0363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BE0A58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265266" w:rsidRPr="005B0363">
        <w:rPr>
          <w:rFonts w:ascii="Times New Roman" w:hAnsi="Times New Roman" w:cs="Times New Roman"/>
          <w:bCs/>
          <w:sz w:val="24"/>
          <w:szCs w:val="24"/>
        </w:rPr>
        <w:t>, на иные расходы, связанные с оказанием услуги по присмотру и уходу за детьми.</w:t>
      </w:r>
    </w:p>
    <w:p w:rsidR="00265266" w:rsidRDefault="0026526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583" w:rsidRPr="009D117B" w:rsidRDefault="008A6583" w:rsidP="002A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6583" w:rsidRPr="009D117B" w:rsidSect="005B03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DB0"/>
    <w:multiLevelType w:val="multilevel"/>
    <w:tmpl w:val="4776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50ED676B"/>
    <w:multiLevelType w:val="multilevel"/>
    <w:tmpl w:val="9574293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A10278"/>
    <w:multiLevelType w:val="multilevel"/>
    <w:tmpl w:val="D140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D117B"/>
    <w:rsid w:val="00040152"/>
    <w:rsid w:val="000464DD"/>
    <w:rsid w:val="001015AD"/>
    <w:rsid w:val="00133780"/>
    <w:rsid w:val="001B3DF1"/>
    <w:rsid w:val="00230E9E"/>
    <w:rsid w:val="00252CD1"/>
    <w:rsid w:val="00265266"/>
    <w:rsid w:val="002873CD"/>
    <w:rsid w:val="002A3AD4"/>
    <w:rsid w:val="003119CD"/>
    <w:rsid w:val="00356187"/>
    <w:rsid w:val="00407480"/>
    <w:rsid w:val="0042341C"/>
    <w:rsid w:val="00431FDF"/>
    <w:rsid w:val="00473DC7"/>
    <w:rsid w:val="004A515C"/>
    <w:rsid w:val="004B0E07"/>
    <w:rsid w:val="004B1DDA"/>
    <w:rsid w:val="004D32EF"/>
    <w:rsid w:val="0050778B"/>
    <w:rsid w:val="00510D52"/>
    <w:rsid w:val="00514F07"/>
    <w:rsid w:val="005263DC"/>
    <w:rsid w:val="005A6A95"/>
    <w:rsid w:val="005B0363"/>
    <w:rsid w:val="005B1D34"/>
    <w:rsid w:val="005C4147"/>
    <w:rsid w:val="005F772A"/>
    <w:rsid w:val="006119BC"/>
    <w:rsid w:val="00632813"/>
    <w:rsid w:val="00657A7E"/>
    <w:rsid w:val="00662BDA"/>
    <w:rsid w:val="0067432C"/>
    <w:rsid w:val="006F0885"/>
    <w:rsid w:val="006F2232"/>
    <w:rsid w:val="007046FB"/>
    <w:rsid w:val="00714EEB"/>
    <w:rsid w:val="007249BF"/>
    <w:rsid w:val="00757A53"/>
    <w:rsid w:val="007B42D0"/>
    <w:rsid w:val="00897307"/>
    <w:rsid w:val="008A2408"/>
    <w:rsid w:val="008A6583"/>
    <w:rsid w:val="008D6F9C"/>
    <w:rsid w:val="00915108"/>
    <w:rsid w:val="009363B7"/>
    <w:rsid w:val="009900CC"/>
    <w:rsid w:val="009A7523"/>
    <w:rsid w:val="009C2542"/>
    <w:rsid w:val="009D117B"/>
    <w:rsid w:val="009F0353"/>
    <w:rsid w:val="00A21BB2"/>
    <w:rsid w:val="00A3023D"/>
    <w:rsid w:val="00A62C71"/>
    <w:rsid w:val="00A63F6C"/>
    <w:rsid w:val="00AB2AEB"/>
    <w:rsid w:val="00AC232E"/>
    <w:rsid w:val="00AC6B1E"/>
    <w:rsid w:val="00AC6D06"/>
    <w:rsid w:val="00AD60CE"/>
    <w:rsid w:val="00AD7A9F"/>
    <w:rsid w:val="00AE3CE7"/>
    <w:rsid w:val="00AF298B"/>
    <w:rsid w:val="00AF4D06"/>
    <w:rsid w:val="00B03DA9"/>
    <w:rsid w:val="00B378D5"/>
    <w:rsid w:val="00B94081"/>
    <w:rsid w:val="00BA2A63"/>
    <w:rsid w:val="00BB3440"/>
    <w:rsid w:val="00BB5B06"/>
    <w:rsid w:val="00BC4FA2"/>
    <w:rsid w:val="00BD3B46"/>
    <w:rsid w:val="00BE0A58"/>
    <w:rsid w:val="00C15364"/>
    <w:rsid w:val="00C507B4"/>
    <w:rsid w:val="00C76B08"/>
    <w:rsid w:val="00CC32BB"/>
    <w:rsid w:val="00CD6285"/>
    <w:rsid w:val="00CE0F98"/>
    <w:rsid w:val="00D35EC8"/>
    <w:rsid w:val="00D513FD"/>
    <w:rsid w:val="00D6250C"/>
    <w:rsid w:val="00D627AF"/>
    <w:rsid w:val="00D95F45"/>
    <w:rsid w:val="00DB3F69"/>
    <w:rsid w:val="00E02847"/>
    <w:rsid w:val="00EA63A0"/>
    <w:rsid w:val="00EA659C"/>
    <w:rsid w:val="00ED59C6"/>
    <w:rsid w:val="00EF1567"/>
    <w:rsid w:val="00F329B8"/>
    <w:rsid w:val="00F87BF9"/>
    <w:rsid w:val="00F96627"/>
    <w:rsid w:val="00FB4F25"/>
    <w:rsid w:val="00FD705E"/>
    <w:rsid w:val="00FF02C4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9D117B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B7"/>
    <w:rPr>
      <w:rFonts w:ascii="Tahoma" w:hAnsi="Tahoma" w:cs="Tahoma"/>
      <w:sz w:val="16"/>
      <w:szCs w:val="16"/>
    </w:rPr>
  </w:style>
  <w:style w:type="character" w:styleId="a6">
    <w:name w:val="Strong"/>
    <w:qFormat/>
    <w:rsid w:val="00ED59C6"/>
    <w:rPr>
      <w:b/>
      <w:bCs/>
    </w:rPr>
  </w:style>
  <w:style w:type="paragraph" w:styleId="a7">
    <w:name w:val="List Paragraph"/>
    <w:basedOn w:val="a"/>
    <w:uiPriority w:val="34"/>
    <w:qFormat/>
    <w:rsid w:val="0004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6F93-4061-48B8-BBDC-69981C4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50</cp:revision>
  <cp:lastPrinted>2019-01-10T09:49:00Z</cp:lastPrinted>
  <dcterms:created xsi:type="dcterms:W3CDTF">2016-03-14T03:43:00Z</dcterms:created>
  <dcterms:modified xsi:type="dcterms:W3CDTF">2019-01-14T05:28:00Z</dcterms:modified>
</cp:coreProperties>
</file>