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954F8">
      <w:pPr>
        <w:jc w:val="center"/>
      </w:pPr>
      <w:bookmarkStart w:id="0" w:name="_GoBack"/>
      <w:bookmarkEnd w:id="0"/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Приложение № 3</w:t>
      </w:r>
    </w:p>
    <w:p w:rsidR="00000000" w:rsidRDefault="002954F8">
      <w:pPr>
        <w:pStyle w:val="31"/>
        <w:ind w:right="425" w:firstLine="709"/>
      </w:pPr>
    </w:p>
    <w:p w:rsidR="00000000" w:rsidRDefault="002954F8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из информационной системы обеспечения градостроительной деятельности (ИСОГД) для земельного участка с кадастровы</w:t>
      </w:r>
      <w:r>
        <w:rPr>
          <w:sz w:val="24"/>
          <w:szCs w:val="24"/>
          <w:lang w:val="ru-RU"/>
        </w:rPr>
        <w:t>м номером                             45:08:012603:775, расположенного по адресу: Курганская область, Кетовский район,          с. Большое Чаусово, трасса Иртыш, 15 м. на юго-восток от кафе «Светлана» сообщаем: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000000">
        <w:tc>
          <w:tcPr>
            <w:tcW w:w="9696" w:type="dxa"/>
            <w:shd w:val="clear" w:color="auto" w:fill="auto"/>
            <w:vAlign w:val="bottom"/>
          </w:tcPr>
          <w:p w:rsidR="00000000" w:rsidRDefault="002954F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Установлен градостроительный регламент.  </w:t>
            </w:r>
          </w:p>
          <w:p w:rsidR="00000000" w:rsidRDefault="002954F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2954F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</w:t>
            </w:r>
            <w:r>
              <w:rPr>
                <w:sz w:val="24"/>
                <w:szCs w:val="24"/>
                <w:lang w:val="ru-RU"/>
              </w:rPr>
              <w:t>мельный участок находится в территориальной зоне ОД(К)</w:t>
            </w:r>
          </w:p>
          <w:p w:rsidR="00000000" w:rsidRDefault="002954F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00000" w:rsidRDefault="002954F8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Из правил землепользования и застройки Большечаусовского сельсовета Кетовского района Курганской области:</w:t>
            </w:r>
          </w:p>
          <w:p w:rsidR="00000000" w:rsidRDefault="002954F8">
            <w:pPr>
              <w:jc w:val="both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000000" w:rsidRDefault="002954F8">
            <w:pPr>
              <w:keepNext/>
              <w:spacing w:before="160" w:after="160"/>
              <w:ind w:firstLine="709"/>
              <w:jc w:val="both"/>
              <w:rPr>
                <w:sz w:val="24"/>
                <w:lang w:val="ru-RU"/>
              </w:rPr>
            </w:pPr>
            <w:r>
              <w:rPr>
                <w:b/>
                <w:bCs/>
                <w:sz w:val="24"/>
                <w:szCs w:val="26"/>
                <w:lang w:val="ru-RU"/>
              </w:rPr>
              <w:t>Статья 72. Градостроительные регламенты. Общественно-деловые зоны</w:t>
            </w:r>
          </w:p>
          <w:p w:rsidR="00000000" w:rsidRDefault="002954F8">
            <w:pPr>
              <w:ind w:firstLine="709"/>
              <w:jc w:val="both"/>
              <w:rPr>
                <w:rFonts w:eastAsia="Lucida Sans Unicode"/>
                <w:b/>
                <w:bCs/>
                <w:color w:val="000000"/>
                <w:sz w:val="24"/>
                <w:szCs w:val="26"/>
                <w:u w:val="single"/>
                <w:lang w:val="ru-RU"/>
              </w:rPr>
            </w:pPr>
            <w:r>
              <w:rPr>
                <w:sz w:val="24"/>
                <w:lang w:val="ru-RU"/>
              </w:rPr>
              <w:t>Общественно-деловые зоны пр</w:t>
            </w:r>
            <w:r>
              <w:rPr>
                <w:sz w:val="24"/>
                <w:lang w:val="ru-RU"/>
              </w:rPr>
              <w:t>едназначены для застройки территории многофункциональными комплексными объектами и специализированными объектами общественно-делового назначения, в том числе:</w:t>
            </w:r>
          </w:p>
          <w:p w:rsidR="00000000" w:rsidRDefault="002954F8">
            <w:pPr>
              <w:keepNext/>
              <w:spacing w:before="160" w:after="160"/>
              <w:ind w:firstLine="709"/>
              <w:jc w:val="center"/>
              <w:rPr>
                <w:sz w:val="24"/>
                <w:lang w:val="ru-RU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6"/>
                <w:u w:val="single"/>
                <w:lang w:val="ru-RU"/>
              </w:rPr>
              <w:t>ОД(К). Комплексная общественно-деловая зона</w:t>
            </w:r>
          </w:p>
          <w:p w:rsidR="00000000" w:rsidRDefault="002954F8">
            <w:pPr>
              <w:ind w:firstLine="7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Комплексная общественно-деловая зона – территории, за</w:t>
            </w:r>
            <w:r>
              <w:rPr>
                <w:sz w:val="24"/>
                <w:lang w:val="ru-RU"/>
              </w:rPr>
              <w:t xml:space="preserve">строенные или планируемые к застройке административными, деловыми, банковскими, торговыми, и иными общественными объектами социального и культурно-бытового обслуживания </w:t>
            </w:r>
          </w:p>
          <w:p w:rsidR="00000000" w:rsidRDefault="002954F8">
            <w:pPr>
              <w:ind w:firstLine="709"/>
              <w:jc w:val="both"/>
              <w:rPr>
                <w:b/>
                <w:bCs/>
                <w:iCs/>
                <w:color w:val="000000"/>
                <w:sz w:val="24"/>
                <w:szCs w:val="26"/>
                <w:u w:val="single"/>
                <w:lang w:val="ru-RU"/>
              </w:rPr>
            </w:pPr>
            <w:r>
              <w:rPr>
                <w:sz w:val="24"/>
                <w:lang w:val="ru-RU"/>
              </w:rPr>
              <w:t>Зона сосредоточенных на относительно небольшой территории административных, деловых, б</w:t>
            </w:r>
            <w:r>
              <w:rPr>
                <w:sz w:val="24"/>
                <w:lang w:val="ru-RU"/>
              </w:rPr>
              <w:t>анковских, торговых, общественно-развлекательных зданий, парковок, обслуживающих эти здания.</w:t>
            </w:r>
          </w:p>
          <w:p w:rsidR="00000000" w:rsidRDefault="002954F8">
            <w:pPr>
              <w:keepNext/>
              <w:spacing w:before="120"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/>
                <w:sz w:val="24"/>
                <w:szCs w:val="26"/>
                <w:u w:val="single"/>
                <w:lang w:val="ru-RU"/>
              </w:rPr>
              <w:t xml:space="preserve">Основные виды разрешенного использования: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административные здания, офисы;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отдельно стоящие объекты культурно-бытового, социального и коммунального обслуживани</w:t>
            </w:r>
            <w:r>
              <w:rPr>
                <w:sz w:val="24"/>
                <w:szCs w:val="24"/>
                <w:lang w:val="ru-RU"/>
              </w:rPr>
              <w:t xml:space="preserve">я; - жилые помещения в зданиях смешанного использования, на верхних этажах над помещениями, где разрешена коммерческая деятельность;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центры социального обслуживания населения;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библиотеки;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предприятия связи;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объекты торговли и общественного питан</w:t>
            </w:r>
            <w:r>
              <w:rPr>
                <w:sz w:val="24"/>
                <w:szCs w:val="24"/>
                <w:lang w:val="ru-RU"/>
              </w:rPr>
              <w:t xml:space="preserve">ия (кафе, закусочные, столовые);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рынки открытые, мини рынки;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юридические учреждения;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отделения банков;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стоматологические кабинеты;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гостиницы;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объекты, связанные с отправлением культа;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учебные заведения среднего профессионального образова</w:t>
            </w:r>
            <w:r>
              <w:rPr>
                <w:sz w:val="24"/>
                <w:szCs w:val="24"/>
                <w:lang w:val="ru-RU"/>
              </w:rPr>
              <w:t xml:space="preserve">ния (филиалы);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клубы;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sectPr w:rsidR="00000000">
                <w:headerReference w:type="default" r:id="rId8"/>
                <w:footerReference w:type="even" r:id="rId9"/>
                <w:footerReference w:type="default" r:id="rId10"/>
                <w:headerReference w:type="first" r:id="rId11"/>
                <w:footerReference w:type="first" r:id="rId12"/>
                <w:pgSz w:w="11906" w:h="16838"/>
                <w:pgMar w:top="1134" w:right="851" w:bottom="776" w:left="1701" w:header="720" w:footer="720" w:gutter="0"/>
                <w:cols w:space="720"/>
                <w:titlePg/>
                <w:docGrid w:linePitch="600" w:charSpace="24576"/>
              </w:sectPr>
            </w:pPr>
            <w:r>
              <w:rPr>
                <w:sz w:val="24"/>
                <w:szCs w:val="24"/>
                <w:lang w:val="ru-RU"/>
              </w:rPr>
              <w:t>- бюро и магазины ритуального обслуживания.</w:t>
            </w:r>
          </w:p>
          <w:p w:rsidR="00000000" w:rsidRDefault="00AF1FDD">
            <w:pPr>
              <w:widowControl w:val="0"/>
              <w:autoSpaceDE w:val="0"/>
              <w:jc w:val="both"/>
              <w:rPr>
                <w:i/>
                <w:sz w:val="24"/>
                <w:szCs w:val="24"/>
                <w:u w:val="single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3784600</wp:posOffset>
                      </wp:positionV>
                      <wp:extent cx="146685" cy="1368425"/>
                      <wp:effectExtent l="0" t="0" r="0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6685" cy="1368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9.7pt;margin-top:298pt;width:11.55pt;height:107.7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" strokeweight=".26mm">
                      <v:stroke endarrow="block" joinstyle="miter" endcap="square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3375025</wp:posOffset>
                      </wp:positionV>
                      <wp:extent cx="977265" cy="890905"/>
                      <wp:effectExtent l="0" t="0" r="0" b="0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5" cy="890905"/>
                              </a:xfrm>
                              <a:prstGeom prst="ellips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91.25pt;margin-top:265.75pt;width:76.95pt;height:70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" filled="f" strokeweight=".26mm">
                      <v:stroke joinstyle="miter" endcap="square"/>
                    </v:oval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067425" cy="49815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498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954F8">
            <w:pPr>
              <w:ind w:left="4320" w:firstLine="720"/>
              <w:jc w:val="both"/>
              <w:rPr>
                <w:rFonts w:eastAsia="Lucida Sans Unicode"/>
                <w:b/>
                <w:bCs/>
                <w:color w:val="000000"/>
                <w:sz w:val="24"/>
                <w:szCs w:val="26"/>
                <w:u w:val="single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 xml:space="preserve">                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>Размещение земельного участка</w:t>
            </w:r>
          </w:p>
          <w:p w:rsidR="00000000" w:rsidRDefault="002954F8">
            <w:pPr>
              <w:keepNext/>
              <w:spacing w:before="160" w:after="160"/>
              <w:ind w:firstLine="709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6"/>
                <w:u w:val="single"/>
                <w:lang w:val="ru-RU"/>
              </w:rPr>
            </w:pPr>
          </w:p>
          <w:p w:rsidR="00000000" w:rsidRDefault="002954F8">
            <w:pPr>
              <w:keepNext/>
              <w:spacing w:before="160" w:after="160"/>
              <w:ind w:firstLine="709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6"/>
                <w:u w:val="single"/>
                <w:lang w:val="ru-RU"/>
              </w:rPr>
            </w:pPr>
          </w:p>
          <w:p w:rsidR="00000000" w:rsidRDefault="002954F8">
            <w:pPr>
              <w:keepNext/>
              <w:spacing w:before="160" w:after="160"/>
              <w:ind w:firstLine="709"/>
              <w:jc w:val="center"/>
              <w:rPr>
                <w:rFonts w:eastAsia="Lucida Sans Unicode"/>
                <w:b/>
                <w:bCs/>
                <w:color w:val="000000"/>
                <w:sz w:val="24"/>
                <w:szCs w:val="26"/>
                <w:u w:val="single"/>
                <w:lang w:val="ru-RU"/>
              </w:rPr>
            </w:pPr>
          </w:p>
          <w:p w:rsidR="00000000" w:rsidRDefault="002954F8">
            <w:pPr>
              <w:keepNext/>
              <w:spacing w:before="160" w:after="160"/>
              <w:ind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Lucida Sans Unicode"/>
                <w:b/>
                <w:bCs/>
                <w:color w:val="000000"/>
                <w:sz w:val="24"/>
                <w:szCs w:val="26"/>
                <w:u w:val="single"/>
                <w:lang w:val="ru-RU"/>
              </w:rPr>
              <w:t>Вспомогательные виды использования, являющиеся дополнительными к основным видам использования: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открытое размещение временные автост</w:t>
            </w:r>
            <w:r>
              <w:rPr>
                <w:sz w:val="24"/>
                <w:szCs w:val="24"/>
                <w:lang w:val="ru-RU"/>
              </w:rPr>
              <w:t xml:space="preserve">оянки легковых автомобилей у общественных зданий;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общественные туалеты;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скверы, бульвары, площадки для проведения массовых мероприятий;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зеленые насаждения;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малые архитектурные формы;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b/>
                <w:bCs/>
                <w:iCs/>
                <w:color w:val="000000"/>
                <w:sz w:val="24"/>
                <w:szCs w:val="26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объекты инженерной инфраструктуры предназначенные для обслу</w:t>
            </w:r>
            <w:r>
              <w:rPr>
                <w:sz w:val="24"/>
                <w:szCs w:val="24"/>
                <w:lang w:val="ru-RU"/>
              </w:rPr>
              <w:t>живания объектов капитального строительства</w:t>
            </w:r>
          </w:p>
          <w:p w:rsidR="00000000" w:rsidRDefault="002954F8">
            <w:pPr>
              <w:keepNext/>
              <w:spacing w:before="120"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/>
                <w:sz w:val="24"/>
                <w:szCs w:val="26"/>
                <w:u w:val="single"/>
                <w:lang w:val="ru-RU"/>
              </w:rPr>
              <w:t xml:space="preserve">Условно разрешенные виды использования: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lang w:val="ru-RU"/>
              </w:rPr>
              <w:t>многоквартирные жилые дома преимущественно с учреждениями обслуживания;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киоски, павильоны торговли и обслуживания населения;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общественные бани;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 участковые пункты м</w:t>
            </w:r>
            <w:r>
              <w:rPr>
                <w:sz w:val="24"/>
                <w:szCs w:val="24"/>
                <w:lang w:val="ru-RU"/>
              </w:rPr>
              <w:t xml:space="preserve">илиции; 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сооружения для постоянного хранения транспортных средств.</w:t>
            </w:r>
          </w:p>
          <w:p w:rsidR="00000000" w:rsidRDefault="002954F8">
            <w:pPr>
              <w:widowControl w:val="0"/>
              <w:autoSpaceDE w:val="0"/>
              <w:spacing w:before="120" w:after="12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>Вспомогательные виды использования, являющиеся дополнительными к условно разрешённым видам использования: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автостоянки и парковки перед объектами обслуживающих и коммерческих видов испол</w:t>
            </w:r>
            <w:r>
              <w:rPr>
                <w:sz w:val="24"/>
                <w:szCs w:val="24"/>
                <w:lang w:val="ru-RU"/>
              </w:rPr>
              <w:t>ьзования;</w:t>
            </w:r>
          </w:p>
          <w:p w:rsidR="00000000" w:rsidRDefault="002954F8">
            <w:pPr>
              <w:widowControl w:val="0"/>
              <w:autoSpaceDE w:val="0"/>
              <w:ind w:firstLine="709"/>
              <w:jc w:val="both"/>
              <w:rPr>
                <w:b/>
                <w:bCs/>
                <w:iCs/>
                <w:color w:val="000000"/>
                <w:sz w:val="24"/>
                <w:szCs w:val="26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инженерные сооружения и объекты, предназначенные для обслуживания объектов условно разрешённых видов использования.</w:t>
            </w:r>
          </w:p>
          <w:p w:rsidR="00000000" w:rsidRDefault="002954F8">
            <w:pPr>
              <w:keepNext/>
              <w:spacing w:before="120" w:after="120"/>
              <w:ind w:firstLine="709"/>
              <w:jc w:val="both"/>
              <w:rPr>
                <w:sz w:val="24"/>
                <w:lang w:val="ru-RU"/>
              </w:rPr>
            </w:pPr>
            <w:r>
              <w:rPr>
                <w:b/>
                <w:bCs/>
                <w:iCs/>
                <w:color w:val="000000"/>
                <w:sz w:val="24"/>
                <w:szCs w:val="26"/>
                <w:u w:val="single"/>
                <w:lang w:val="ru-RU"/>
              </w:rPr>
              <w:t>Параметры основных и вспомогательных и условно разрешённых видов разрешенного использования и строительства (см. табл. 57,58):</w:t>
            </w:r>
          </w:p>
          <w:p w:rsidR="00000000" w:rsidRDefault="002954F8">
            <w:pPr>
              <w:ind w:firstLine="7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>араметры основных и вспомогательных видов разрешенного строительства применяются при соблюдении требований, СП 42.13330.2011. «Свод правил. Градостроительство. Планировка и застройка городских и сельских поселений. (Актуализированная редакция СНиП 2.07.01-</w:t>
            </w:r>
            <w:r>
              <w:rPr>
                <w:sz w:val="24"/>
                <w:lang w:val="ru-RU"/>
              </w:rPr>
              <w:t xml:space="preserve">89*)», "СНиП 31-06-2009. Общественные здания и сооружения", </w:t>
            </w:r>
            <w:r>
              <w:rPr>
                <w:color w:val="000000"/>
                <w:sz w:val="24"/>
                <w:lang w:val="ru-RU"/>
              </w:rPr>
              <w:t>СП 31-102-99 Свод правил Требования доступности общественных зданий и сооружений для инвалидов и других мало мобильных групп посетителей, СП 35-105-2002«Свод правил Реконструкция городской застрой</w:t>
            </w:r>
            <w:r>
              <w:rPr>
                <w:color w:val="000000"/>
                <w:sz w:val="24"/>
                <w:lang w:val="ru-RU"/>
              </w:rPr>
              <w:t xml:space="preserve">ки с учётом доступности для инвалидов и других мало мобильных групп населения», </w:t>
            </w:r>
            <w:r>
              <w:rPr>
                <w:sz w:val="24"/>
                <w:lang w:val="ru-RU"/>
              </w:rPr>
              <w:t>СанПиН 2.2.1/2.1.1.1200-03 «Санитарно-защитные зоны и санитарная классификация предприятий, сооружений и иных объектов», технических регламентов, в том числе Технического регла</w:t>
            </w:r>
            <w:r>
              <w:rPr>
                <w:sz w:val="24"/>
                <w:lang w:val="ru-RU"/>
              </w:rPr>
              <w:t>мента пожарной безопасности (от 22 июля 2008 г. № 123-ФЗ), региональных нормативов градостроительного проектирования Курганской области.</w:t>
            </w:r>
          </w:p>
          <w:p w:rsidR="00000000" w:rsidRDefault="002954F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lang w:val="ru-RU"/>
              </w:rPr>
              <w:t>1. Минимальные площади земельных участков объектов общественной застройки, обслуживающих зданий и сооружений определяют</w:t>
            </w:r>
            <w:r>
              <w:rPr>
                <w:sz w:val="24"/>
                <w:lang w:val="ru-RU"/>
              </w:rPr>
              <w:t>ся на основе норм СП 42.13330.2011. «Свод правил. Градостроительство. Планировка и застройка городских и сельских поселений. (Актуализированная редакция СНиП 2.07.01-89*)», "СНиП 31-06-2009. Общественные здания и сооружения", 30-102-99 "Планировка и застро</w:t>
            </w:r>
            <w:r>
              <w:rPr>
                <w:sz w:val="24"/>
                <w:lang w:val="ru-RU"/>
              </w:rPr>
              <w:t>йка территорий малоэтажного строительства" и иных действующих нормативов, в том числе региональных нормативов градостроительного проектирования Курганской области.</w:t>
            </w:r>
          </w:p>
          <w:p w:rsidR="00000000" w:rsidRDefault="002954F8">
            <w:pPr>
              <w:widowControl w:val="0"/>
              <w:tabs>
                <w:tab w:val="left" w:pos="0"/>
              </w:tabs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Таблица 57</w:t>
            </w: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99"/>
              <w:gridCol w:w="658"/>
              <w:gridCol w:w="558"/>
              <w:gridCol w:w="558"/>
              <w:gridCol w:w="552"/>
              <w:gridCol w:w="686"/>
              <w:gridCol w:w="552"/>
              <w:gridCol w:w="688"/>
              <w:gridCol w:w="424"/>
              <w:gridCol w:w="1087"/>
              <w:gridCol w:w="685"/>
              <w:gridCol w:w="686"/>
              <w:gridCol w:w="552"/>
              <w:gridCol w:w="686"/>
              <w:gridCol w:w="826"/>
            </w:tblGrid>
            <w:tr w:rsidR="00000000">
              <w:trPr>
                <w:tblHeader/>
              </w:trPr>
              <w:tc>
                <w:tcPr>
                  <w:tcW w:w="499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auto"/>
                  <w:textDirection w:val="btL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</w:t>
                  </w:r>
                </w:p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</w:rPr>
                    <w:t>п.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auto"/>
                  <w:textDirection w:val="btL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Кодовое обозначение территориальных зон и видов разрешенного использования з</w:t>
                  </w:r>
                  <w:r>
                    <w:rPr>
                      <w:sz w:val="16"/>
                      <w:szCs w:val="16"/>
                      <w:lang w:val="ru-RU"/>
                    </w:rPr>
                    <w:t>емельных участков</w:t>
                  </w:r>
                </w:p>
              </w:tc>
              <w:tc>
                <w:tcPr>
                  <w:tcW w:w="8540" w:type="dxa"/>
                  <w:gridSpan w:val="1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autoSpaceDE w:val="0"/>
                    <w:jc w:val="center"/>
                  </w:pPr>
                  <w:r>
                    <w:rPr>
                      <w:sz w:val="16"/>
                      <w:szCs w:val="16"/>
                      <w:lang w:val="ru-RU"/>
                    </w:rPr>
                    <w:t>Градостроительные регламенты территориальных зон, функциональные зоны для которых градостроительные регламенты не устанавливаются</w:t>
                  </w:r>
                </w:p>
              </w:tc>
            </w:tr>
            <w:tr w:rsidR="00000000">
              <w:trPr>
                <w:tblHeader/>
              </w:trPr>
              <w:tc>
                <w:tcPr>
                  <w:tcW w:w="499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:rsidR="00000000" w:rsidRDefault="002954F8">
                  <w:pPr>
                    <w:snapToGrid w:val="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58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:rsidR="00000000" w:rsidRDefault="002954F8">
                  <w:pPr>
                    <w:snapToGrid w:val="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018" w:type="dxa"/>
                  <w:gridSpan w:val="7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Предельные параметры земельных участков</w:t>
                  </w:r>
                </w:p>
              </w:tc>
              <w:tc>
                <w:tcPr>
                  <w:tcW w:w="4522" w:type="dxa"/>
                  <w:gridSpan w:val="6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autoSpaceDE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00000">
              <w:trPr>
                <w:cantSplit/>
                <w:trHeight w:val="2423"/>
                <w:tblHeader/>
              </w:trPr>
              <w:tc>
                <w:tcPr>
                  <w:tcW w:w="499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:rsidR="00000000" w:rsidRDefault="002954F8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8" w:type="dxa"/>
                  <w:vMerge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auto"/>
                  <w:vAlign w:val="center"/>
                </w:tcPr>
                <w:p w:rsidR="00000000" w:rsidRDefault="002954F8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Минимальная площадь земельных участков, (га)</w:t>
                  </w:r>
                </w:p>
              </w:tc>
              <w:tc>
                <w:tcPr>
                  <w:tcW w:w="558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Максимальная пло</w:t>
                  </w:r>
                  <w:r>
                    <w:rPr>
                      <w:sz w:val="16"/>
                      <w:szCs w:val="16"/>
                      <w:lang w:val="ru-RU"/>
                    </w:rPr>
                    <w:t>щадь земельных участков, (га)</w:t>
                  </w:r>
                </w:p>
              </w:tc>
              <w:tc>
                <w:tcPr>
                  <w:tcW w:w="552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Минимальная ширина земельных участков, (м)</w:t>
                  </w:r>
                </w:p>
              </w:tc>
              <w:tc>
                <w:tcPr>
                  <w:tcW w:w="686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Максимальная ширина земельных участков, (м)</w:t>
                  </w:r>
                </w:p>
              </w:tc>
              <w:tc>
                <w:tcPr>
                  <w:tcW w:w="552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Минимальная длина земельных участков, (м)</w:t>
                  </w:r>
                </w:p>
              </w:tc>
              <w:tc>
                <w:tcPr>
                  <w:tcW w:w="688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Максимальная длина земельных участков, (м)</w:t>
                  </w:r>
                </w:p>
              </w:tc>
              <w:tc>
                <w:tcPr>
                  <w:tcW w:w="424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</w:rPr>
                    <w:t>Норма делимости, (м)</w:t>
                  </w:r>
                </w:p>
              </w:tc>
              <w:tc>
                <w:tcPr>
                  <w:tcW w:w="1087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spacing w:before="100" w:after="100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Минимальные отступы от границ зем</w:t>
                  </w:r>
                  <w:r>
                    <w:rPr>
                      <w:sz w:val="16"/>
                      <w:szCs w:val="16"/>
                      <w:lang w:val="ru-RU"/>
                    </w:rPr>
                    <w:t>-х участков в целях определе-ния мест допустимого размещения зданий, строений, сооружений,  (м)</w:t>
                  </w:r>
                </w:p>
              </w:tc>
              <w:tc>
                <w:tcPr>
                  <w:tcW w:w="685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Минимальное количество надземных этажей зданий, строений, сооружений, (ед.)</w:t>
                  </w:r>
                </w:p>
              </w:tc>
              <w:tc>
                <w:tcPr>
                  <w:tcW w:w="686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Максимальное количество надземных этажей зданий, строений, сооружений, (ед.)</w:t>
                  </w:r>
                </w:p>
              </w:tc>
              <w:tc>
                <w:tcPr>
                  <w:tcW w:w="552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Максима</w:t>
                  </w:r>
                  <w:r>
                    <w:rPr>
                      <w:sz w:val="16"/>
                      <w:szCs w:val="16"/>
                      <w:lang w:val="ru-RU"/>
                    </w:rPr>
                    <w:t>льная высота зданий, строений, сооружений (м.)</w:t>
                  </w:r>
                </w:p>
              </w:tc>
              <w:tc>
                <w:tcPr>
                  <w:tcW w:w="686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ind w:left="113" w:right="113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Минимальный процент застройки в границах земельного участка*, (процент)</w:t>
                  </w:r>
                </w:p>
              </w:tc>
              <w:tc>
                <w:tcPr>
                  <w:tcW w:w="826" w:type="dxa"/>
                  <w:tcBorders>
                    <w:top w:val="single" w:sz="1" w:space="0" w:color="000000"/>
                    <w:left w:val="single" w:sz="1" w:space="0" w:color="000000"/>
                    <w:bottom w:val="double" w:sz="1" w:space="0" w:color="000000"/>
                    <w:right w:val="single" w:sz="1" w:space="0" w:color="000000"/>
                  </w:tcBorders>
                  <w:shd w:val="clear" w:color="auto" w:fill="FFFFFF"/>
                  <w:textDirection w:val="btLr"/>
                  <w:vAlign w:val="center"/>
                </w:tcPr>
                <w:p w:rsidR="00000000" w:rsidRDefault="002954F8">
                  <w:pPr>
                    <w:autoSpaceDE w:val="0"/>
                    <w:ind w:left="113" w:right="113"/>
                  </w:pPr>
                  <w:r>
                    <w:rPr>
                      <w:sz w:val="16"/>
                      <w:szCs w:val="16"/>
                      <w:lang w:val="ru-RU"/>
                    </w:rPr>
                    <w:t>Максимальный процент застройки в границах земельного участка*, (процент)</w:t>
                  </w:r>
                </w:p>
              </w:tc>
            </w:tr>
            <w:tr w:rsidR="00000000">
              <w:trPr>
                <w:trHeight w:val="45"/>
              </w:trPr>
              <w:tc>
                <w:tcPr>
                  <w:tcW w:w="499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2954F8">
                  <w:pPr>
                    <w:widowControl w:val="0"/>
                    <w:numPr>
                      <w:ilvl w:val="0"/>
                      <w:numId w:val="2"/>
                    </w:numPr>
                    <w:snapToGrid w:val="0"/>
                    <w:rPr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2954F8">
                  <w:pPr>
                    <w:pStyle w:val="af"/>
                    <w:ind w:left="28" w:right="2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ОД(К)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2,0</w:t>
                  </w: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88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00000" w:rsidRDefault="002954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2954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2954F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2954F8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</w:tr>
          </w:tbl>
          <w:p w:rsidR="00000000" w:rsidRDefault="002954F8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Примечание. </w:t>
            </w:r>
          </w:p>
          <w:p w:rsidR="00000000" w:rsidRDefault="002954F8">
            <w:pPr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* без учета эксплуатируемой кровли подземных, подвальных, цокольных частей объектов</w:t>
            </w:r>
          </w:p>
          <w:p w:rsidR="00000000" w:rsidRDefault="002954F8">
            <w:pPr>
              <w:numPr>
                <w:ilvl w:val="1"/>
                <w:numId w:val="3"/>
              </w:numPr>
            </w:pPr>
            <w:r>
              <w:rPr>
                <w:sz w:val="20"/>
              </w:rPr>
              <w:t>НПУ- не подлежат установлению</w:t>
            </w:r>
          </w:p>
        </w:tc>
      </w:tr>
    </w:tbl>
    <w:p w:rsidR="00000000" w:rsidRDefault="002954F8">
      <w:pPr>
        <w:rPr>
          <w:sz w:val="20"/>
          <w:lang w:val="ru-RU"/>
        </w:rPr>
      </w:pPr>
    </w:p>
    <w:p w:rsidR="00000000" w:rsidRDefault="002954F8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</w:t>
      </w:r>
      <w:r>
        <w:rPr>
          <w:b/>
          <w:bCs/>
          <w:sz w:val="24"/>
          <w:szCs w:val="24"/>
          <w:lang w:val="ru-RU"/>
        </w:rPr>
        <w:t xml:space="preserve">егламент либо реквизиты акта федерального органа государственной власти, органа государственной власти субъекта Российской Федерации, органа местного </w:t>
      </w:r>
      <w:r>
        <w:rPr>
          <w:b/>
          <w:bCs/>
          <w:sz w:val="24"/>
          <w:szCs w:val="24"/>
          <w:lang w:val="ru-RU"/>
        </w:rPr>
        <w:lastRenderedPageBreak/>
        <w:t>самоуправления, иной организации, определяющего, в соответствии с федеральными законами, порядок использов</w:t>
      </w:r>
      <w:r>
        <w:rPr>
          <w:b/>
          <w:bCs/>
          <w:sz w:val="24"/>
          <w:szCs w:val="24"/>
          <w:lang w:val="ru-RU"/>
        </w:rPr>
        <w:t>ания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p w:rsidR="00000000" w:rsidRDefault="002954F8">
      <w:pPr>
        <w:jc w:val="both"/>
        <w:rPr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9"/>
      </w:tblGrid>
      <w:tr w:rsidR="00000000">
        <w:trPr>
          <w:trHeight w:val="340"/>
        </w:trPr>
        <w:tc>
          <w:tcPr>
            <w:tcW w:w="9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AF1FDD">
            <w:pPr>
              <w:snapToGrid w:val="0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0" distR="114300" simplePos="0" relativeHeight="251658752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238760</wp:posOffset>
                      </wp:positionV>
                      <wp:extent cx="5935345" cy="2665730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5345" cy="266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349"/>
                                  </w:tblGrid>
                                  <w:tr w:rsidR="0000000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9349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2954F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Решение  Большечаусовской сельской  Думы от 20.05.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2014 г. № 256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9349" w:type="dxa"/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2954F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lang w:val="ru-RU"/>
                                          </w:rPr>
                                          <w:t>(наименование представительного органа местного самоуправления,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9349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2954F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«Об утверждении Правил землепользования и  застройки  Большечаусовского сельсовета Кетовского района  Курганской области»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9349" w:type="dxa"/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2954F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lang w:val="ru-RU"/>
                                          </w:rPr>
                                          <w:t>реквизиты акта об утверждении правил)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9349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2954F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Решение  Больш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ечаусовской сельской  Думы от 02.06.2016 г. № 173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9349" w:type="dxa"/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2954F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lang w:val="ru-RU"/>
                                          </w:rPr>
                                          <w:t>(наименование представительного органа местного самоуправления,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9349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2954F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«О внесении изменений в Правила землепользования и  застройки  Большечаусовского сельсовета Кетовского района  Курганской области»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9349" w:type="dxa"/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2954F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lang w:val="ru-RU"/>
                                          </w:rPr>
                                          <w:t>реквизит</w:t>
                                        </w:r>
                                        <w:r>
                                          <w:rPr>
                                            <w:sz w:val="20"/>
                                            <w:lang w:val="ru-RU"/>
                                          </w:rPr>
                                          <w:t>ы акта об утверждении правил)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9349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2954F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Решение  Большечаусовской сельской  Думы от 10.11.2016 г. № 98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9349" w:type="dxa"/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2954F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lang w:val="ru-RU"/>
                                          </w:rPr>
                                          <w:t>(наименование представительного органа местного самоуправления,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9349" w:type="dxa"/>
                                        <w:tcBorders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2954F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«О внесении изменений в Правила землепользования и  застройки  Большечаусовского сельсовета Кето</w:t>
                                        </w:r>
                                        <w:r>
                                          <w:rPr>
                                            <w:sz w:val="24"/>
                                            <w:szCs w:val="24"/>
                                            <w:lang w:val="ru-RU"/>
                                          </w:rPr>
                                          <w:t>вского района  Курганской области»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c>
                                      <w:tcPr>
                                        <w:tcW w:w="9349" w:type="dxa"/>
                                        <w:shd w:val="clear" w:color="auto" w:fill="auto"/>
                                        <w:vAlign w:val="bottom"/>
                                      </w:tcPr>
                                      <w:p w:rsidR="00000000" w:rsidRDefault="002954F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  <w:lang w:val="ru-RU"/>
                                          </w:rPr>
                                          <w:t>реквизиты акта об утверждении правил)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2954F8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18.8pt;width:467.35pt;height:209.9pt;z-index:25165875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49"/>
                            </w:tblGrid>
                            <w:tr w:rsidR="00000000">
                              <w:trPr>
                                <w:trHeight w:val="340"/>
                              </w:trPr>
                              <w:tc>
                                <w:tcPr>
                                  <w:tcW w:w="934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2954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Решение  Большечаусовской сельской  Думы от 20.05.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2014 г. № 256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9349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2954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(наименование представительного органа местного самоуправления,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40"/>
                              </w:trPr>
                              <w:tc>
                                <w:tcPr>
                                  <w:tcW w:w="934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2954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«Об утверждении Правил землепользования и  застройки  Большечаусовского сельсовета Кетовского района  Курганской области»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9349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2954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реквизиты акта об утверждении правил)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40"/>
                              </w:trPr>
                              <w:tc>
                                <w:tcPr>
                                  <w:tcW w:w="934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2954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Решение  Больш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ечаусовской сельской  Думы от 02.06.2016 г. № 173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9349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2954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(наименование представительного органа местного самоуправления,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40"/>
                              </w:trPr>
                              <w:tc>
                                <w:tcPr>
                                  <w:tcW w:w="934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2954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«О внесении изменений в Правила землепользования и  застройки  Большечаусовского сельсовета Кетовского района  Курганской области»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9349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2954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реквизит</w:t>
                                  </w: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ы акта об утверждении правил)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40"/>
                              </w:trPr>
                              <w:tc>
                                <w:tcPr>
                                  <w:tcW w:w="934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2954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Решение  Большечаусовской сельской  Думы от 10.11.2016 г. № 98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9349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2954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(наименование представительного органа местного самоуправления,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340"/>
                              </w:trPr>
                              <w:tc>
                                <w:tcPr>
                                  <w:tcW w:w="934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00000" w:rsidRDefault="002954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«О внесении изменений в Правила землепользования и  застройки  Большечаусовского сельсовета Кето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вского района  Курганской области»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9349" w:type="dxa"/>
                                  <w:shd w:val="clear" w:color="auto" w:fill="auto"/>
                                  <w:vAlign w:val="bottom"/>
                                </w:tcPr>
                                <w:p w:rsidR="00000000" w:rsidRDefault="002954F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реквизиты акта об утверждении правил)</w:t>
                                  </w:r>
                                </w:p>
                              </w:tc>
                            </w:tr>
                          </w:tbl>
                          <w:p w:rsidR="00000000" w:rsidRDefault="002954F8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00000">
        <w:trPr>
          <w:trHeight w:val="340"/>
        </w:trPr>
        <w:tc>
          <w:tcPr>
            <w:tcW w:w="9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54F8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  <w:p w:rsidR="00000000" w:rsidRDefault="002954F8">
            <w:pPr>
              <w:jc w:val="center"/>
            </w:pPr>
            <w:r>
              <w:rPr>
                <w:sz w:val="24"/>
                <w:szCs w:val="24"/>
                <w:lang w:val="ru-RU"/>
              </w:rPr>
              <w:t>Решение  Большечаусовской сельской  Думы от 01.08.2017 г. № 130</w:t>
            </w:r>
          </w:p>
        </w:tc>
      </w:tr>
      <w:tr w:rsidR="00000000">
        <w:trPr>
          <w:trHeight w:val="340"/>
        </w:trPr>
        <w:tc>
          <w:tcPr>
            <w:tcW w:w="9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54F8">
            <w:pPr>
              <w:jc w:val="center"/>
            </w:pPr>
            <w:r>
              <w:rPr>
                <w:sz w:val="20"/>
                <w:lang w:val="ru-RU"/>
              </w:rPr>
              <w:t>(наименование представитель</w:t>
            </w:r>
            <w:r>
              <w:rPr>
                <w:sz w:val="20"/>
                <w:lang w:val="ru-RU"/>
              </w:rPr>
              <w:t>ного органа местного самоуправления,</w:t>
            </w:r>
          </w:p>
        </w:tc>
      </w:tr>
      <w:tr w:rsidR="00000000">
        <w:trPr>
          <w:trHeight w:val="340"/>
        </w:trPr>
        <w:tc>
          <w:tcPr>
            <w:tcW w:w="9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54F8">
            <w:pPr>
              <w:jc w:val="center"/>
            </w:pPr>
            <w:r>
              <w:rPr>
                <w:sz w:val="24"/>
                <w:szCs w:val="24"/>
                <w:lang w:val="ru-RU"/>
              </w:rPr>
              <w:t>«О внесении изменений в Правила землепользования и  застройки  Большечаусовского сельсовета Кетовского района  Курганской области»</w:t>
            </w:r>
          </w:p>
        </w:tc>
      </w:tr>
      <w:tr w:rsidR="00000000">
        <w:trPr>
          <w:trHeight w:val="340"/>
        </w:trPr>
        <w:tc>
          <w:tcPr>
            <w:tcW w:w="9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54F8">
            <w:pPr>
              <w:jc w:val="center"/>
            </w:pPr>
            <w:r>
              <w:rPr>
                <w:sz w:val="20"/>
                <w:lang w:val="ru-RU"/>
              </w:rPr>
              <w:t>реквизиты акта об утверждении правил)</w:t>
            </w:r>
          </w:p>
        </w:tc>
      </w:tr>
      <w:tr w:rsidR="00000000">
        <w:trPr>
          <w:trHeight w:val="340"/>
        </w:trPr>
        <w:tc>
          <w:tcPr>
            <w:tcW w:w="9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54F8">
            <w:pPr>
              <w:jc w:val="center"/>
            </w:pPr>
            <w:r>
              <w:rPr>
                <w:sz w:val="24"/>
                <w:szCs w:val="24"/>
                <w:lang w:val="ru-RU"/>
              </w:rPr>
              <w:t>Решение  Большечаусовской сельской  Думы от 09.</w:t>
            </w:r>
            <w:r>
              <w:rPr>
                <w:sz w:val="24"/>
                <w:szCs w:val="24"/>
                <w:lang w:val="ru-RU"/>
              </w:rPr>
              <w:t>11.2017 г. № 148</w:t>
            </w:r>
          </w:p>
        </w:tc>
      </w:tr>
      <w:tr w:rsidR="00000000">
        <w:trPr>
          <w:trHeight w:val="340"/>
        </w:trPr>
        <w:tc>
          <w:tcPr>
            <w:tcW w:w="9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54F8">
            <w:pPr>
              <w:jc w:val="center"/>
            </w:pPr>
            <w:r>
              <w:rPr>
                <w:sz w:val="20"/>
                <w:lang w:val="ru-RU"/>
              </w:rPr>
              <w:t>(наименование представительного органа местного самоуправления,</w:t>
            </w:r>
          </w:p>
        </w:tc>
      </w:tr>
      <w:tr w:rsidR="00000000">
        <w:trPr>
          <w:trHeight w:val="340"/>
        </w:trPr>
        <w:tc>
          <w:tcPr>
            <w:tcW w:w="9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54F8">
            <w:pPr>
              <w:jc w:val="center"/>
            </w:pPr>
            <w:r>
              <w:rPr>
                <w:sz w:val="24"/>
                <w:szCs w:val="24"/>
                <w:lang w:val="ru-RU"/>
              </w:rPr>
              <w:t>«О внесении изменений в Правила землепользования и  застройки  Большечаусовского сельсовета Кетовского района  Курганской области»</w:t>
            </w:r>
          </w:p>
        </w:tc>
      </w:tr>
      <w:tr w:rsidR="00000000">
        <w:trPr>
          <w:trHeight w:val="340"/>
        </w:trPr>
        <w:tc>
          <w:tcPr>
            <w:tcW w:w="93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954F8">
            <w:pPr>
              <w:jc w:val="center"/>
            </w:pPr>
            <w:r>
              <w:rPr>
                <w:sz w:val="20"/>
                <w:lang w:val="ru-RU"/>
              </w:rPr>
              <w:t>реквизиты акта об утверждении правил)</w:t>
            </w:r>
          </w:p>
        </w:tc>
      </w:tr>
    </w:tbl>
    <w:p w:rsidR="00000000" w:rsidRDefault="002954F8">
      <w:pPr>
        <w:jc w:val="both"/>
        <w:rPr>
          <w:b/>
          <w:bCs/>
          <w:lang w:val="ru-RU"/>
        </w:rPr>
      </w:pPr>
    </w:p>
    <w:p w:rsidR="00000000" w:rsidRDefault="002954F8">
      <w:pPr>
        <w:jc w:val="both"/>
        <w:rPr>
          <w:b/>
          <w:bCs/>
          <w:lang w:val="ru-RU"/>
        </w:rPr>
      </w:pPr>
    </w:p>
    <w:p w:rsidR="00000000" w:rsidRDefault="002954F8">
      <w:pPr>
        <w:pStyle w:val="Default"/>
        <w:rPr>
          <w:color w:val="auto"/>
          <w:sz w:val="26"/>
          <w:szCs w:val="26"/>
        </w:rPr>
      </w:pPr>
    </w:p>
    <w:p w:rsidR="00000000" w:rsidRDefault="002954F8">
      <w:pPr>
        <w:overflowPunct w:val="0"/>
        <w:autoSpaceDE w:val="0"/>
        <w:ind w:right="-65"/>
        <w:jc w:val="both"/>
        <w:textAlignment w:val="baseline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Начальник отдела архитектуры</w:t>
      </w:r>
    </w:p>
    <w:p w:rsidR="00000000" w:rsidRDefault="002954F8">
      <w:pPr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и градостроительства                                                                              Ковешников А.О</w:t>
      </w:r>
    </w:p>
    <w:p w:rsidR="00000000" w:rsidRDefault="002954F8">
      <w:pPr>
        <w:jc w:val="both"/>
        <w:rPr>
          <w:sz w:val="24"/>
          <w:szCs w:val="28"/>
          <w:lang w:val="ru-RU"/>
        </w:rPr>
      </w:pPr>
    </w:p>
    <w:p w:rsidR="00000000" w:rsidRDefault="002954F8">
      <w:pPr>
        <w:jc w:val="both"/>
        <w:rPr>
          <w:sz w:val="24"/>
          <w:szCs w:val="28"/>
          <w:lang w:val="ru-RU"/>
        </w:rPr>
      </w:pPr>
    </w:p>
    <w:p w:rsidR="00000000" w:rsidRDefault="002954F8">
      <w:pPr>
        <w:jc w:val="both"/>
        <w:rPr>
          <w:sz w:val="24"/>
          <w:szCs w:val="28"/>
          <w:lang w:val="ru-RU"/>
        </w:rPr>
      </w:pPr>
    </w:p>
    <w:p w:rsidR="00000000" w:rsidRDefault="002954F8">
      <w:pPr>
        <w:jc w:val="both"/>
        <w:rPr>
          <w:sz w:val="24"/>
          <w:szCs w:val="24"/>
          <w:lang w:val="ru-RU"/>
        </w:rPr>
      </w:pPr>
    </w:p>
    <w:p w:rsidR="00000000" w:rsidRDefault="002954F8">
      <w:pPr>
        <w:jc w:val="both"/>
        <w:rPr>
          <w:sz w:val="24"/>
          <w:szCs w:val="24"/>
          <w:lang w:val="ru-RU"/>
        </w:rPr>
      </w:pPr>
    </w:p>
    <w:p w:rsidR="00000000" w:rsidRDefault="002954F8">
      <w:pPr>
        <w:jc w:val="both"/>
        <w:rPr>
          <w:sz w:val="24"/>
          <w:szCs w:val="24"/>
          <w:lang w:val="ru-RU"/>
        </w:rPr>
      </w:pPr>
    </w:p>
    <w:p w:rsidR="00000000" w:rsidRDefault="002954F8">
      <w:pPr>
        <w:tabs>
          <w:tab w:val="left" w:pos="4050"/>
        </w:tabs>
        <w:jc w:val="both"/>
        <w:rPr>
          <w:sz w:val="20"/>
          <w:szCs w:val="24"/>
        </w:rPr>
      </w:pPr>
      <w:r>
        <w:rPr>
          <w:sz w:val="20"/>
          <w:szCs w:val="24"/>
        </w:rPr>
        <w:t>Евдокимова Е.Э.</w:t>
      </w:r>
    </w:p>
    <w:p w:rsidR="00000000" w:rsidRDefault="002954F8">
      <w:pPr>
        <w:jc w:val="both"/>
        <w:rPr>
          <w:sz w:val="20"/>
          <w:lang w:val="ru-RU"/>
        </w:rPr>
      </w:pPr>
      <w:r>
        <w:rPr>
          <w:sz w:val="20"/>
          <w:szCs w:val="24"/>
        </w:rPr>
        <w:t>(35231)2-37-17</w:t>
      </w:r>
    </w:p>
    <w:p w:rsidR="002954F8" w:rsidRDefault="002954F8">
      <w:pPr>
        <w:jc w:val="both"/>
      </w:pPr>
    </w:p>
    <w:sectPr w:rsidR="002954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776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F8" w:rsidRDefault="002954F8">
      <w:r>
        <w:separator/>
      </w:r>
    </w:p>
  </w:endnote>
  <w:endnote w:type="continuationSeparator" w:id="0">
    <w:p w:rsidR="002954F8" w:rsidRDefault="0029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84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4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4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4F8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4F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4F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4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F8" w:rsidRDefault="002954F8">
      <w:r>
        <w:separator/>
      </w:r>
    </w:p>
  </w:footnote>
  <w:footnote w:type="continuationSeparator" w:id="0">
    <w:p w:rsidR="002954F8" w:rsidRDefault="00295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1FDD">
    <w:pPr>
      <w:pStyle w:val="aa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6929120</wp:posOffset>
              </wp:positionH>
              <wp:positionV relativeFrom="paragraph">
                <wp:posOffset>635</wp:posOffset>
              </wp:positionV>
              <wp:extent cx="184785" cy="20764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07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954F8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5.6pt;margin-top:.05pt;width:14.55pt;height:16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" stroked="f">
              <v:fill opacity="0"/>
              <v:textbox inset="0,0,0,0">
                <w:txbxContent>
                  <w:p w:rsidR="00000000" w:rsidRDefault="002954F8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4F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4F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1FDD">
    <w:pPr>
      <w:pStyle w:val="aa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6929120</wp:posOffset>
              </wp:positionH>
              <wp:positionV relativeFrom="paragraph">
                <wp:posOffset>635</wp:posOffset>
              </wp:positionV>
              <wp:extent cx="184785" cy="2076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07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954F8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5.6pt;margin-top:.05pt;width:14.55pt;height:16.3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" stroked="f">
              <v:fill opacity="0"/>
              <v:textbox inset="0,0,0,0">
                <w:txbxContent>
                  <w:p w:rsidR="00000000" w:rsidRDefault="002954F8">
                    <w:pPr>
                      <w:pStyle w:val="a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54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OpenSymbol"/>
        <w:sz w:val="20"/>
        <w:szCs w:val="24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284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DD"/>
    <w:rsid w:val="002954F8"/>
    <w:rsid w:val="00A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4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OpenSymbol"/>
      <w:sz w:val="20"/>
      <w:szCs w:val="24"/>
    </w:rPr>
  </w:style>
  <w:style w:type="character" w:customStyle="1" w:styleId="WW8Num3z2">
    <w:name w:val="WW8Num3z2"/>
  </w:style>
  <w:style w:type="character" w:customStyle="1" w:styleId="WW8Num3z3">
    <w:name w:val="WW8Num3z3"/>
    <w:rPr>
      <w:b w:val="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  <w:rPr>
      <w:b w:val="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OpenSymbol"/>
      <w:sz w:val="20"/>
      <w:szCs w:val="24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b w:val="0"/>
      <w:sz w:val="26"/>
      <w:szCs w:val="26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font384" w:hAnsi="font384" w:cs="OpenSymbol"/>
      <w:sz w:val="24"/>
      <w:szCs w:val="29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99"/>
      <w:sz w:val="24"/>
      <w:szCs w:val="24"/>
      <w:lang w:val="ru-RU" w:eastAsia="ru-RU" w:bidi="ru-RU"/>
    </w:rPr>
  </w:style>
  <w:style w:type="character" w:customStyle="1" w:styleId="WW8Num10z1">
    <w:name w:val="WW8Num10z1"/>
    <w:rPr>
      <w:rFonts w:hint="default"/>
      <w:lang w:val="ru-RU" w:eastAsia="ru-RU" w:bidi="ru-RU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spacing w:val="-5"/>
      <w:w w:val="100"/>
      <w:sz w:val="24"/>
      <w:szCs w:val="24"/>
      <w:lang w:val="ru-RU" w:eastAsia="ru-RU" w:bidi="ru-RU"/>
    </w:rPr>
  </w:style>
  <w:style w:type="character" w:customStyle="1" w:styleId="WW8Num16z1">
    <w:name w:val="WW8Num16z1"/>
    <w:rPr>
      <w:rFonts w:hint="default"/>
      <w:lang w:val="ru-RU" w:eastAsia="ru-RU" w:bidi="ru-RU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lang w:val="ru-RU" w:eastAsia="ru-RU" w:bidi="ru-RU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 w:eastAsia="ru-RU" w:bidi="ru-RU"/>
    </w:rPr>
  </w:style>
  <w:style w:type="character" w:customStyle="1" w:styleId="WW8Num21z1">
    <w:name w:val="WW8Num21z1"/>
    <w:rPr>
      <w:rFonts w:hint="default"/>
      <w:lang w:val="ru-RU" w:eastAsia="ru-RU" w:bidi="ru-RU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16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b w:val="0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color w:val="FF0000"/>
      <w:sz w:val="20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80">
    <w:name w:val="Заголовок 8 Знак"/>
    <w:basedOn w:val="1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a4">
    <w:name w:val="Таблица ГП Знак"/>
    <w:rPr>
      <w:rFonts w:ascii="Tahoma" w:hAnsi="Tahoma" w:cs="Tahoma"/>
      <w:lang w:val="en-US" w:eastAsia="ar-SA" w:bidi="ar-SA"/>
    </w:rPr>
  </w:style>
  <w:style w:type="character" w:customStyle="1" w:styleId="20">
    <w:name w:val="Обычный2 Знак"/>
    <w:rPr>
      <w:rFonts w:ascii="Arial" w:hAnsi="Arial" w:cs="Arial"/>
      <w:sz w:val="18"/>
      <w:lang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jc w:val="both"/>
    </w:pPr>
    <w:rPr>
      <w:lang w:val="ru-RU"/>
    </w:rPr>
  </w:style>
  <w:style w:type="paragraph" w:styleId="a8">
    <w:name w:val="List"/>
    <w:basedOn w:val="a7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"/>
    <w:pPr>
      <w:ind w:firstLine="720"/>
      <w:jc w:val="both"/>
    </w:pPr>
    <w:rPr>
      <w:sz w:val="26"/>
      <w:lang w:val="ru-RU"/>
    </w:rPr>
  </w:style>
  <w:style w:type="paragraph" w:customStyle="1" w:styleId="21">
    <w:name w:val="Основной текст 21"/>
    <w:basedOn w:val="a"/>
    <w:rPr>
      <w:sz w:val="24"/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  <w:lang w:val="ru-RU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4"/>
      <w:lang w:val="ru-RU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9"/>
      <w:jc w:val="both"/>
    </w:pPr>
    <w:rPr>
      <w:rFonts w:ascii="Arial" w:hAnsi="Arial" w:cs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sz w:val="22"/>
      <w:szCs w:val="22"/>
      <w:lang w:val="ru-RU" w:eastAsia="ru-RU" w:bidi="ru-RU"/>
    </w:rPr>
  </w:style>
  <w:style w:type="paragraph" w:styleId="ad">
    <w:name w:val="List Paragraph"/>
    <w:basedOn w:val="a"/>
    <w:qFormat/>
    <w:pPr>
      <w:widowControl w:val="0"/>
      <w:autoSpaceDE w:val="0"/>
      <w:ind w:left="148" w:firstLine="708"/>
    </w:pPr>
    <w:rPr>
      <w:sz w:val="22"/>
      <w:szCs w:val="22"/>
      <w:lang w:val="ru-RU" w:eastAsia="ru-RU" w:bidi="ru-RU"/>
    </w:rPr>
  </w:style>
  <w:style w:type="paragraph" w:customStyle="1" w:styleId="Heading2">
    <w:name w:val="Heading 2"/>
    <w:basedOn w:val="a"/>
    <w:pPr>
      <w:widowControl w:val="0"/>
      <w:autoSpaceDE w:val="0"/>
      <w:ind w:left="206"/>
    </w:pPr>
    <w:rPr>
      <w:b/>
      <w:bCs/>
      <w:sz w:val="26"/>
      <w:szCs w:val="26"/>
      <w:lang w:val="ru-RU" w:eastAsia="ru-RU" w:bidi="ru-RU"/>
    </w:rPr>
  </w:style>
  <w:style w:type="paragraph" w:customStyle="1" w:styleId="Heading3">
    <w:name w:val="Heading 3"/>
    <w:basedOn w:val="a"/>
    <w:pPr>
      <w:widowControl w:val="0"/>
      <w:autoSpaceDE w:val="0"/>
      <w:spacing w:before="5" w:line="274" w:lineRule="exact"/>
      <w:ind w:left="856"/>
    </w:pPr>
    <w:rPr>
      <w:b/>
      <w:bCs/>
      <w:sz w:val="24"/>
      <w:szCs w:val="24"/>
      <w:lang w:val="ru-RU" w:eastAsia="ru-RU" w:bidi="ru-RU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pPr>
      <w:widowControl w:val="0"/>
      <w:jc w:val="both"/>
    </w:pPr>
    <w:rPr>
      <w:sz w:val="24"/>
      <w:szCs w:val="24"/>
      <w:lang w:val="ru-RU"/>
    </w:rPr>
  </w:style>
  <w:style w:type="paragraph" w:customStyle="1" w:styleId="af0">
    <w:name w:val="Таблица ГП"/>
    <w:basedOn w:val="a"/>
    <w:pPr>
      <w:jc w:val="both"/>
    </w:pPr>
    <w:rPr>
      <w:rFonts w:ascii="Tahoma" w:hAnsi="Tahoma" w:cs="Tahoma"/>
      <w:sz w:val="20"/>
      <w:lang w:val="en-US"/>
    </w:rPr>
  </w:style>
  <w:style w:type="paragraph" w:customStyle="1" w:styleId="22">
    <w:name w:val="Обычный2"/>
    <w:pPr>
      <w:widowControl w:val="0"/>
      <w:suppressAutoHyphens/>
      <w:snapToGrid w:val="0"/>
    </w:pPr>
    <w:rPr>
      <w:rFonts w:ascii="Arial" w:hAnsi="Arial" w:cs="Arial"/>
      <w:sz w:val="18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val="en-GB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0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4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OpenSymbol"/>
      <w:sz w:val="20"/>
      <w:szCs w:val="24"/>
    </w:rPr>
  </w:style>
  <w:style w:type="character" w:customStyle="1" w:styleId="WW8Num3z2">
    <w:name w:val="WW8Num3z2"/>
  </w:style>
  <w:style w:type="character" w:customStyle="1" w:styleId="WW8Num3z3">
    <w:name w:val="WW8Num3z3"/>
    <w:rPr>
      <w:b w:val="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OpenSymbol"/>
    </w:rPr>
  </w:style>
  <w:style w:type="character" w:customStyle="1" w:styleId="WW8Num4z2">
    <w:name w:val="WW8Num4z2"/>
  </w:style>
  <w:style w:type="character" w:customStyle="1" w:styleId="WW8Num4z3">
    <w:name w:val="WW8Num4z3"/>
    <w:rPr>
      <w:b w:val="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Symbol" w:hAnsi="Symbol" w:cs="OpenSymbol"/>
      <w:sz w:val="20"/>
      <w:szCs w:val="24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b w:val="0"/>
      <w:sz w:val="26"/>
      <w:szCs w:val="26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font384" w:hAnsi="font384" w:cs="OpenSymbol"/>
      <w:sz w:val="24"/>
      <w:szCs w:val="29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w w:val="99"/>
      <w:sz w:val="24"/>
      <w:szCs w:val="24"/>
      <w:lang w:val="ru-RU" w:eastAsia="ru-RU" w:bidi="ru-RU"/>
    </w:rPr>
  </w:style>
  <w:style w:type="character" w:customStyle="1" w:styleId="WW8Num10z1">
    <w:name w:val="WW8Num10z1"/>
    <w:rPr>
      <w:rFonts w:hint="default"/>
      <w:lang w:val="ru-RU" w:eastAsia="ru-RU" w:bidi="ru-RU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b/>
      <w:bCs/>
      <w:spacing w:val="-5"/>
      <w:w w:val="100"/>
      <w:sz w:val="24"/>
      <w:szCs w:val="24"/>
      <w:lang w:val="ru-RU" w:eastAsia="ru-RU" w:bidi="ru-RU"/>
    </w:rPr>
  </w:style>
  <w:style w:type="character" w:customStyle="1" w:styleId="WW8Num16z1">
    <w:name w:val="WW8Num16z1"/>
    <w:rPr>
      <w:rFonts w:hint="default"/>
      <w:lang w:val="ru-RU" w:eastAsia="ru-RU" w:bidi="ru-RU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lang w:val="ru-RU" w:eastAsia="ru-RU" w:bidi="ru-RU"/>
    </w:rPr>
  </w:style>
  <w:style w:type="character" w:customStyle="1" w:styleId="WW8Num18z1">
    <w:name w:val="WW8Num18z1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spacing w:val="-5"/>
      <w:w w:val="100"/>
      <w:sz w:val="24"/>
      <w:szCs w:val="24"/>
      <w:lang w:val="ru-RU" w:eastAsia="ru-RU" w:bidi="ru-RU"/>
    </w:rPr>
  </w:style>
  <w:style w:type="character" w:customStyle="1" w:styleId="WW8Num21z1">
    <w:name w:val="WW8Num21z1"/>
    <w:rPr>
      <w:rFonts w:hint="default"/>
      <w:lang w:val="ru-RU" w:eastAsia="ru-RU" w:bidi="ru-RU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16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b w:val="0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color w:val="FF0000"/>
      <w:sz w:val="20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80">
    <w:name w:val="Заголовок 8 Знак"/>
    <w:basedOn w:val="1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apple-converted-space">
    <w:name w:val="apple-converted-space"/>
    <w:basedOn w:val="10"/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basedOn w:val="1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30">
    <w:name w:val="Заголовок 3 Знак"/>
    <w:basedOn w:val="10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a4">
    <w:name w:val="Таблица ГП Знак"/>
    <w:rPr>
      <w:rFonts w:ascii="Tahoma" w:hAnsi="Tahoma" w:cs="Tahoma"/>
      <w:lang w:val="en-US" w:eastAsia="ar-SA" w:bidi="ar-SA"/>
    </w:rPr>
  </w:style>
  <w:style w:type="character" w:customStyle="1" w:styleId="20">
    <w:name w:val="Обычный2 Знак"/>
    <w:rPr>
      <w:rFonts w:ascii="Arial" w:hAnsi="Arial" w:cs="Arial"/>
      <w:sz w:val="18"/>
      <w:lang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7">
    <w:name w:val="Body Text"/>
    <w:basedOn w:val="a"/>
    <w:pPr>
      <w:jc w:val="both"/>
    </w:pPr>
    <w:rPr>
      <w:lang w:val="ru-RU"/>
    </w:rPr>
  </w:style>
  <w:style w:type="paragraph" w:styleId="a8">
    <w:name w:val="List"/>
    <w:basedOn w:val="a7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9">
    <w:name w:val="Body Text Indent"/>
    <w:basedOn w:val="a"/>
    <w:pPr>
      <w:ind w:firstLine="720"/>
      <w:jc w:val="both"/>
    </w:pPr>
    <w:rPr>
      <w:sz w:val="26"/>
      <w:lang w:val="ru-RU"/>
    </w:rPr>
  </w:style>
  <w:style w:type="paragraph" w:customStyle="1" w:styleId="21">
    <w:name w:val="Основной текст 21"/>
    <w:basedOn w:val="a"/>
    <w:rPr>
      <w:sz w:val="24"/>
      <w:lang w:val="ru-RU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4"/>
      <w:lang w:val="ru-RU"/>
    </w:rPr>
  </w:style>
  <w:style w:type="paragraph" w:customStyle="1" w:styleId="31">
    <w:name w:val="Основной текст 31"/>
    <w:basedOn w:val="a"/>
    <w:pPr>
      <w:jc w:val="both"/>
    </w:pPr>
    <w:rPr>
      <w:rFonts w:ascii="Arial" w:hAnsi="Arial" w:cs="Arial"/>
      <w:sz w:val="24"/>
      <w:lang w:val="ru-RU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pPr>
      <w:spacing w:line="360" w:lineRule="auto"/>
      <w:ind w:firstLine="709"/>
      <w:jc w:val="both"/>
    </w:pPr>
    <w:rPr>
      <w:rFonts w:ascii="Arial" w:hAnsi="Arial" w:cs="Arial"/>
      <w:sz w:val="24"/>
      <w:lang w:val="ru-RU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sz w:val="22"/>
      <w:szCs w:val="22"/>
      <w:lang w:val="ru-RU" w:eastAsia="ru-RU" w:bidi="ru-RU"/>
    </w:rPr>
  </w:style>
  <w:style w:type="paragraph" w:styleId="ad">
    <w:name w:val="List Paragraph"/>
    <w:basedOn w:val="a"/>
    <w:qFormat/>
    <w:pPr>
      <w:widowControl w:val="0"/>
      <w:autoSpaceDE w:val="0"/>
      <w:ind w:left="148" w:firstLine="708"/>
    </w:pPr>
    <w:rPr>
      <w:sz w:val="22"/>
      <w:szCs w:val="22"/>
      <w:lang w:val="ru-RU" w:eastAsia="ru-RU" w:bidi="ru-RU"/>
    </w:rPr>
  </w:style>
  <w:style w:type="paragraph" w:customStyle="1" w:styleId="Heading2">
    <w:name w:val="Heading 2"/>
    <w:basedOn w:val="a"/>
    <w:pPr>
      <w:widowControl w:val="0"/>
      <w:autoSpaceDE w:val="0"/>
      <w:ind w:left="206"/>
    </w:pPr>
    <w:rPr>
      <w:b/>
      <w:bCs/>
      <w:sz w:val="26"/>
      <w:szCs w:val="26"/>
      <w:lang w:val="ru-RU" w:eastAsia="ru-RU" w:bidi="ru-RU"/>
    </w:rPr>
  </w:style>
  <w:style w:type="paragraph" w:customStyle="1" w:styleId="Heading3">
    <w:name w:val="Heading 3"/>
    <w:basedOn w:val="a"/>
    <w:pPr>
      <w:widowControl w:val="0"/>
      <w:autoSpaceDE w:val="0"/>
      <w:spacing w:before="5" w:line="274" w:lineRule="exact"/>
      <w:ind w:left="856"/>
    </w:pPr>
    <w:rPr>
      <w:b/>
      <w:bCs/>
      <w:sz w:val="24"/>
      <w:szCs w:val="24"/>
      <w:lang w:val="ru-RU" w:eastAsia="ru-RU" w:bidi="ru-RU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pPr>
      <w:widowControl w:val="0"/>
      <w:jc w:val="both"/>
    </w:pPr>
    <w:rPr>
      <w:sz w:val="24"/>
      <w:szCs w:val="24"/>
      <w:lang w:val="ru-RU"/>
    </w:rPr>
  </w:style>
  <w:style w:type="paragraph" w:customStyle="1" w:styleId="af0">
    <w:name w:val="Таблица ГП"/>
    <w:basedOn w:val="a"/>
    <w:pPr>
      <w:jc w:val="both"/>
    </w:pPr>
    <w:rPr>
      <w:rFonts w:ascii="Tahoma" w:hAnsi="Tahoma" w:cs="Tahoma"/>
      <w:sz w:val="20"/>
      <w:lang w:val="en-US"/>
    </w:rPr>
  </w:style>
  <w:style w:type="paragraph" w:customStyle="1" w:styleId="22">
    <w:name w:val="Обычный2"/>
    <w:pPr>
      <w:widowControl w:val="0"/>
      <w:suppressAutoHyphens/>
      <w:snapToGrid w:val="0"/>
    </w:pPr>
    <w:rPr>
      <w:rFonts w:ascii="Arial" w:hAnsi="Arial" w:cs="Arial"/>
      <w:sz w:val="18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45T008</dc:creator>
  <cp:lastModifiedBy>555</cp:lastModifiedBy>
  <cp:revision>2</cp:revision>
  <cp:lastPrinted>2019-09-30T10:03:00Z</cp:lastPrinted>
  <dcterms:created xsi:type="dcterms:W3CDTF">2019-10-14T10:09:00Z</dcterms:created>
  <dcterms:modified xsi:type="dcterms:W3CDTF">2019-10-14T10:09:00Z</dcterms:modified>
</cp:coreProperties>
</file>