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2039">
      <w:pPr>
        <w:rPr>
          <w:sz w:val="26"/>
          <w:lang w:val="ru-RU"/>
        </w:rPr>
      </w:pPr>
      <w:bookmarkStart w:id="0" w:name="_GoBack"/>
      <w:bookmarkEnd w:id="0"/>
    </w:p>
    <w:p w:rsidR="00000000" w:rsidRDefault="00E32039">
      <w:pPr>
        <w:jc w:val="center"/>
        <w:rPr>
          <w:sz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Приложение №3</w:t>
      </w:r>
    </w:p>
    <w:p w:rsidR="00000000" w:rsidRDefault="00E32039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На запрос о предоставлении сведений из информационной системы обеспечения градостроительной деятельности (ИСОГД) для земельного участка с кад</w:t>
      </w:r>
      <w:r>
        <w:rPr>
          <w:sz w:val="24"/>
          <w:lang w:val="ru-RU"/>
        </w:rPr>
        <w:t>астровым номером 45:08:032401:210, расположенного по адресу: Курганская область, Кетовский район, д. Козлово, ул. Новая, уч. 18 сообщаем:</w:t>
      </w:r>
    </w:p>
    <w:p w:rsidR="00000000" w:rsidRDefault="00E32039">
      <w:pPr>
        <w:ind w:firstLine="720"/>
        <w:jc w:val="both"/>
        <w:rPr>
          <w:sz w:val="24"/>
          <w:lang w:val="ru-RU"/>
        </w:rPr>
      </w:pPr>
    </w:p>
    <w:p w:rsidR="00000000" w:rsidRDefault="00E32039">
      <w:pPr>
        <w:numPr>
          <w:ilvl w:val="0"/>
          <w:numId w:val="7"/>
        </w:numPr>
        <w:jc w:val="both"/>
        <w:rPr>
          <w:b/>
          <w:bCs/>
          <w:spacing w:val="-1"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Информация о градостроительном регламенте либо требованиях к назначению, параметрам и размещению объекта капитального</w:t>
      </w:r>
      <w:r>
        <w:rPr>
          <w:b/>
          <w:bCs/>
          <w:spacing w:val="-1"/>
          <w:sz w:val="22"/>
          <w:szCs w:val="22"/>
          <w:lang w:val="ru-RU"/>
        </w:rPr>
        <w:t xml:space="preserve">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устанавливается.</w:t>
      </w:r>
    </w:p>
    <w:p w:rsidR="00000000" w:rsidRDefault="00E32039">
      <w:pPr>
        <w:ind w:left="405"/>
        <w:jc w:val="both"/>
        <w:rPr>
          <w:b/>
          <w:bCs/>
          <w:spacing w:val="-1"/>
          <w:sz w:val="22"/>
          <w:szCs w:val="22"/>
          <w:lang w:val="ru-RU"/>
        </w:rPr>
      </w:pPr>
    </w:p>
    <w:p w:rsidR="00000000" w:rsidRDefault="00E32039">
      <w:pPr>
        <w:ind w:firstLine="4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Установлен градостроительный регламент.  </w:t>
      </w:r>
    </w:p>
    <w:p w:rsidR="00000000" w:rsidRDefault="00E32039">
      <w:pPr>
        <w:jc w:val="both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Земельный участок находится в территориал</w:t>
      </w:r>
      <w:r>
        <w:rPr>
          <w:sz w:val="24"/>
          <w:szCs w:val="24"/>
          <w:lang w:val="ru-RU"/>
        </w:rPr>
        <w:t>ьной зоне Ж-1</w:t>
      </w:r>
    </w:p>
    <w:p w:rsidR="00000000" w:rsidRDefault="00E32039">
      <w:pPr>
        <w:jc w:val="both"/>
        <w:rPr>
          <w:b/>
          <w:sz w:val="24"/>
          <w:szCs w:val="24"/>
          <w:u w:val="single"/>
          <w:lang w:val="ru-RU"/>
        </w:rPr>
      </w:pPr>
    </w:p>
    <w:p w:rsidR="00000000" w:rsidRDefault="00E3203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Из правил землепользования и застройки Становского сельсовета Кетовского района Курганской области:</w:t>
      </w:r>
    </w:p>
    <w:p w:rsidR="00000000" w:rsidRDefault="00E32039">
      <w:pPr>
        <w:pStyle w:val="3"/>
        <w:widowControl w:val="0"/>
        <w:numPr>
          <w:ilvl w:val="0"/>
          <w:numId w:val="0"/>
        </w:numPr>
        <w:tabs>
          <w:tab w:val="left" w:pos="0"/>
          <w:tab w:val="left" w:pos="45"/>
        </w:tabs>
        <w:spacing w:before="119" w:after="62" w:line="100" w:lineRule="atLeast"/>
        <w:ind w:left="45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Ж-1. Зона индивидуальной и малоэтажной многоквартирной застройки</w:t>
      </w:r>
    </w:p>
    <w:p w:rsidR="00000000" w:rsidRDefault="00E32039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Жилые зоны предназначены для застройки многоквартирными жилыми домами до </w:t>
      </w:r>
      <w:r>
        <w:rPr>
          <w:sz w:val="24"/>
          <w:szCs w:val="24"/>
          <w:lang w:val="ru-RU"/>
        </w:rPr>
        <w:t>3-х этажей, индивидуальными жилыми домами с приусадебными земельными участками, а также для жилой застройки иных видов.</w:t>
      </w:r>
    </w:p>
    <w:p w:rsidR="00000000" w:rsidRDefault="00E32039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жилых зонах размещаются объекты социального и культурно-бытового обслуживания населения, допускается строительство иных объектов, для </w:t>
      </w:r>
      <w:r>
        <w:rPr>
          <w:sz w:val="24"/>
          <w:szCs w:val="24"/>
          <w:lang w:val="ru-RU"/>
        </w:rPr>
        <w:t>которых не требуется установление санитарно-защитных зон и деятельность которых не оказывает вредного воздействия на окружающую среду.</w:t>
      </w:r>
    </w:p>
    <w:p w:rsidR="00000000" w:rsidRDefault="00E32039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Зона застройки индивидуальными и малоэтажными жилыми домами выделена для обеспечения правовых условий формирования кварта</w:t>
      </w:r>
      <w:r>
        <w:rPr>
          <w:sz w:val="24"/>
          <w:szCs w:val="24"/>
          <w:lang w:val="ru-RU"/>
        </w:rPr>
        <w:t>лов поселений комфортного жилья со средней и низкой плотностью застройки посредством преимущественного размещения отдельно стоящих одноквартирных домов, блокированных двухквартирных и блокированных многоквартирных домов.</w:t>
      </w:r>
    </w:p>
    <w:p w:rsidR="00000000" w:rsidRDefault="00E32039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>
        <w:rPr>
          <w:b/>
          <w:bCs/>
          <w:i/>
          <w:iCs/>
          <w:sz w:val="24"/>
          <w:szCs w:val="24"/>
          <w:lang w:val="ru-RU"/>
        </w:rPr>
        <w:t>Основные виды</w:t>
      </w:r>
      <w:r>
        <w:rPr>
          <w:sz w:val="24"/>
          <w:szCs w:val="24"/>
          <w:lang w:val="ru-RU"/>
        </w:rPr>
        <w:t xml:space="preserve"> разрешенного испол</w:t>
      </w:r>
      <w:r>
        <w:rPr>
          <w:sz w:val="24"/>
          <w:szCs w:val="24"/>
          <w:lang w:val="ru-RU"/>
        </w:rPr>
        <w:t>ьзования земельных участков и объектов капитального строительства:</w:t>
      </w:r>
    </w:p>
    <w:p w:rsidR="00000000" w:rsidRDefault="00E32039">
      <w:pPr>
        <w:widowControl w:val="0"/>
        <w:numPr>
          <w:ilvl w:val="0"/>
          <w:numId w:val="4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отдельно стоящие жилые дома с приусадебными участками, предназначенные для проживания одной или двух семей;</w:t>
      </w:r>
    </w:p>
    <w:p w:rsidR="00000000" w:rsidRDefault="00E32039">
      <w:pPr>
        <w:widowControl w:val="0"/>
        <w:numPr>
          <w:ilvl w:val="0"/>
          <w:numId w:val="4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жилые дома блокированной застройки (жилые дома, состоящие из нескольких блоков, к</w:t>
      </w:r>
      <w:r>
        <w:rPr>
          <w:sz w:val="24"/>
          <w:szCs w:val="24"/>
          <w:lang w:val="ru-RU"/>
        </w:rPr>
        <w:t>аждый из которых предназначен для проживания одной семьи и имеет отдельный выход на территорию общего пользования);</w:t>
      </w:r>
    </w:p>
    <w:p w:rsidR="00000000" w:rsidRDefault="00E32039">
      <w:pPr>
        <w:widowControl w:val="0"/>
        <w:numPr>
          <w:ilvl w:val="0"/>
          <w:numId w:val="4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магазины, торговой площадью до 100 кв.м;</w:t>
      </w:r>
    </w:p>
    <w:p w:rsidR="00000000" w:rsidRDefault="00E32039">
      <w:pPr>
        <w:widowControl w:val="0"/>
        <w:numPr>
          <w:ilvl w:val="0"/>
          <w:numId w:val="4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детские дошкольные учреждения общего типа, специализированные, оздоровительные;</w:t>
      </w:r>
    </w:p>
    <w:p w:rsidR="00000000" w:rsidRDefault="00E32039">
      <w:pPr>
        <w:widowControl w:val="0"/>
        <w:numPr>
          <w:ilvl w:val="0"/>
          <w:numId w:val="4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школы общеобразоват</w:t>
      </w:r>
      <w:r>
        <w:rPr>
          <w:sz w:val="24"/>
          <w:szCs w:val="24"/>
          <w:lang w:val="ru-RU"/>
        </w:rPr>
        <w:t>ельные, специализированные, межшкольные учебно-производственные комбинаты.</w:t>
      </w:r>
    </w:p>
    <w:p w:rsidR="00000000" w:rsidRDefault="00E32039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>
        <w:rPr>
          <w:b/>
          <w:bCs/>
          <w:i/>
          <w:iCs/>
          <w:sz w:val="24"/>
          <w:szCs w:val="24"/>
          <w:lang w:val="ru-RU"/>
        </w:rPr>
        <w:t>Вспомогательные виды</w:t>
      </w:r>
      <w:r>
        <w:rPr>
          <w:sz w:val="24"/>
          <w:szCs w:val="24"/>
          <w:lang w:val="ru-RU"/>
        </w:rPr>
        <w:t xml:space="preserve"> разрешенного использования земельных участков и объектов капитального строительства: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хозяйственные постройки на приусадебном участке;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бани, сауны на приусаде</w:t>
      </w:r>
      <w:r>
        <w:rPr>
          <w:sz w:val="24"/>
          <w:szCs w:val="24"/>
          <w:lang w:val="ru-RU"/>
        </w:rPr>
        <w:t>бном участке;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сады, огороды, палисадники на приусадебном участке;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парники, теплицы, оранжереи на приусадебном участке;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993" w:left="1701" w:header="720" w:footer="720" w:gutter="0"/>
          <w:cols w:space="720"/>
          <w:titlePg/>
          <w:docGrid w:linePitch="600" w:charSpace="24576"/>
        </w:sectPr>
      </w:pPr>
      <w:r>
        <w:rPr>
          <w:sz w:val="24"/>
          <w:szCs w:val="24"/>
          <w:lang w:val="ru-RU"/>
        </w:rPr>
        <w:t>резервуары для хранения воды на приусадебном участке;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артезианские скважины, индивидуальные колодцы, надворные туалеты на приусадебном уч</w:t>
      </w:r>
      <w:r>
        <w:rPr>
          <w:sz w:val="24"/>
          <w:szCs w:val="24"/>
          <w:lang w:val="ru-RU"/>
        </w:rPr>
        <w:t>астке;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отдельно стоящий или встроенный в жилой дом гараж или открытая стоянка на приусадебном участке;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объекты пожарной охраны;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колодцы общественного пользования (временно, до подключения к сети центрального водоснабжения);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пункты первой медицинской помощи</w:t>
      </w:r>
      <w:r>
        <w:rPr>
          <w:sz w:val="24"/>
          <w:szCs w:val="24"/>
        </w:rPr>
        <w:t>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магистральные сети и объекты инженерной инфраструктуры, связанные с обслуживанием объектов данной зоны;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жилищно-эксплуатационные предприятия;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временные сооружения для обслуживания населения;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зеленые насаждения общего пользования;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остановочные павильоны, </w:t>
      </w:r>
      <w:r>
        <w:rPr>
          <w:sz w:val="24"/>
          <w:szCs w:val="24"/>
          <w:lang w:val="ru-RU"/>
        </w:rPr>
        <w:t>посадочные площадки общественного транспорта;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пешеходные переходы;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пешеходные тротуары, площади;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малые архитектурные формы, рекламные установки;</w:t>
      </w:r>
    </w:p>
    <w:p w:rsidR="00000000" w:rsidRDefault="00E32039">
      <w:pPr>
        <w:widowControl w:val="0"/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отделения милиции, посты милиции, ГИБДД.</w:t>
      </w:r>
    </w:p>
    <w:p w:rsidR="00000000" w:rsidRDefault="00E32039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 </w:t>
      </w:r>
      <w:r>
        <w:rPr>
          <w:b/>
          <w:bCs/>
          <w:i/>
          <w:iCs/>
          <w:sz w:val="24"/>
          <w:szCs w:val="24"/>
          <w:lang w:val="ru-RU"/>
        </w:rPr>
        <w:t>Условно разрешенные</w:t>
      </w:r>
      <w:r>
        <w:rPr>
          <w:sz w:val="24"/>
          <w:szCs w:val="24"/>
          <w:lang w:val="ru-RU"/>
        </w:rPr>
        <w:t xml:space="preserve"> виды использования земельных участков и объекто</w:t>
      </w:r>
      <w:r>
        <w:rPr>
          <w:sz w:val="24"/>
          <w:szCs w:val="24"/>
          <w:lang w:val="ru-RU"/>
        </w:rPr>
        <w:t>в капитального строительства: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внешкольные учреждения;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спортивные здания и крытые сооружения, открытые спортивные сооружения;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раздаточные пункты молочных кухонь;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бани, банно-оздоровительные комплексы;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прачечные и химчистки самообслуживания;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предприятия розн</w:t>
      </w:r>
      <w:r>
        <w:rPr>
          <w:sz w:val="24"/>
          <w:szCs w:val="24"/>
          <w:lang w:val="ru-RU"/>
        </w:rPr>
        <w:t>ичной торговли (площадью более 100 кв.м.);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предприятия общественного питания;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предприятия бытового обслуживания непроизводственного характера;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предприятия кредитования, страхования (отделения банков и страховых организаций);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отделения связи, почтамты, теле</w:t>
      </w:r>
      <w:r>
        <w:rPr>
          <w:sz w:val="24"/>
          <w:szCs w:val="24"/>
          <w:lang w:val="ru-RU"/>
        </w:rPr>
        <w:t>графы, АТС;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библиотеки;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культовые объекты (часовни, церкви, соборы, монастыри);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мемориальные комплексы, памятники истории и культуры;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водоемы природные и искусственные;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парки культуры и отдыха;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бульвары и скверы;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мотели, кемпинги;</w:t>
      </w:r>
    </w:p>
    <w:p w:rsidR="00000000" w:rsidRDefault="00E32039">
      <w:pPr>
        <w:widowControl w:val="0"/>
        <w:numPr>
          <w:ilvl w:val="0"/>
          <w:numId w:val="6"/>
        </w:numPr>
        <w:tabs>
          <w:tab w:val="left" w:pos="0"/>
        </w:tabs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предприятия, связанные с </w:t>
      </w:r>
      <w:r>
        <w:rPr>
          <w:sz w:val="24"/>
          <w:szCs w:val="24"/>
          <w:lang w:val="ru-RU"/>
        </w:rPr>
        <w:t>индивидуальной трудовой деятельностью, в соответствии с санитарными и противопожарными нормами.</w:t>
      </w:r>
    </w:p>
    <w:p w:rsidR="00000000" w:rsidRDefault="00E32039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>
        <w:rPr>
          <w:b/>
          <w:bCs/>
          <w:i/>
          <w:iCs/>
          <w:sz w:val="24"/>
          <w:szCs w:val="24"/>
          <w:lang w:val="ru-RU"/>
        </w:rPr>
        <w:t>Разрешенные параметры</w:t>
      </w:r>
      <w:r>
        <w:rPr>
          <w:sz w:val="24"/>
          <w:szCs w:val="24"/>
          <w:lang w:val="ru-RU"/>
        </w:rPr>
        <w:t xml:space="preserve"> использования земельных участков и объектов капитального строительства (см. табл.57):</w:t>
      </w:r>
    </w:p>
    <w:p w:rsidR="00000000" w:rsidRDefault="00E32039">
      <w:pPr>
        <w:tabs>
          <w:tab w:val="left" w:pos="874"/>
          <w:tab w:val="left" w:pos="903"/>
          <w:tab w:val="left" w:pos="918"/>
          <w:tab w:val="left" w:pos="947"/>
          <w:tab w:val="left" w:pos="1078"/>
          <w:tab w:val="left" w:pos="1733"/>
        </w:tabs>
        <w:spacing w:line="100" w:lineRule="atLeast"/>
        <w:ind w:left="15"/>
        <w:jc w:val="right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2</w:t>
      </w:r>
    </w:p>
    <w:p w:rsidR="00000000" w:rsidRDefault="00E32039">
      <w:pPr>
        <w:spacing w:before="238" w:after="238" w:line="100" w:lineRule="atLeast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Предельные параметры строительства в жи</w:t>
      </w:r>
      <w:r>
        <w:rPr>
          <w:b/>
          <w:bCs/>
          <w:sz w:val="24"/>
          <w:szCs w:val="24"/>
          <w:lang w:val="ru-RU"/>
        </w:rPr>
        <w:t>лой застройке (см. табл.57)</w:t>
      </w:r>
    </w:p>
    <w:tbl>
      <w:tblPr>
        <w:tblW w:w="0" w:type="auto"/>
        <w:tblInd w:w="362" w:type="dxa"/>
        <w:tblLayout w:type="fixed"/>
        <w:tblLook w:val="0000" w:firstRow="0" w:lastRow="0" w:firstColumn="0" w:lastColumn="0" w:noHBand="0" w:noVBand="0"/>
      </w:tblPr>
      <w:tblGrid>
        <w:gridCol w:w="5300"/>
        <w:gridCol w:w="1773"/>
        <w:gridCol w:w="2595"/>
      </w:tblGrid>
      <w:tr w:rsidR="00000000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2039"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2039"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2039">
            <w:pPr>
              <w:spacing w:line="100" w:lineRule="atLeast"/>
              <w:jc w:val="center"/>
            </w:pPr>
            <w:r>
              <w:rPr>
                <w:sz w:val="24"/>
                <w:szCs w:val="24"/>
                <w:lang w:val="ru-RU"/>
              </w:rPr>
              <w:t>Обоснование</w:t>
            </w:r>
          </w:p>
        </w:tc>
      </w:tr>
      <w:tr w:rsidR="00000000"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Минимальное расстояние между фронтальной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границей участка и основным строением, м:</w:t>
            </w:r>
          </w:p>
          <w:p w:rsidR="00000000" w:rsidRDefault="00E3203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сохраняемой застройке</w:t>
            </w:r>
          </w:p>
          <w:p w:rsidR="00000000" w:rsidRDefault="00E3203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реконструкции и новом </w:t>
            </w:r>
            <w:r>
              <w:rPr>
                <w:sz w:val="24"/>
                <w:szCs w:val="24"/>
              </w:rPr>
              <w:lastRenderedPageBreak/>
              <w:t xml:space="preserve">строительстве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по сложившейся линии застройки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не менее </w:t>
            </w: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203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000000" w:rsidRDefault="00E32039">
            <w:pPr>
              <w:spacing w:line="100" w:lineRule="atLeast"/>
              <w:jc w:val="both"/>
            </w:pPr>
            <w:r>
              <w:rPr>
                <w:sz w:val="24"/>
                <w:szCs w:val="24"/>
              </w:rPr>
              <w:t>СП 30-102-99*, табл.1</w:t>
            </w:r>
          </w:p>
        </w:tc>
      </w:tr>
      <w:tr w:rsidR="00000000"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 Минимальное расстояние от границ землевладения до строений, а также между строениями, м: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 границ соседнего участка до: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- основного строения    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- построек для содержания скота и птицы                                                      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>- других построек: бани, гаража, сарая и др.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- окон жилых</w:t>
            </w:r>
            <w:r>
              <w:rPr>
                <w:sz w:val="24"/>
                <w:szCs w:val="24"/>
                <w:lang w:val="ru-RU"/>
              </w:rPr>
              <w:t xml:space="preserve"> комнат до стен соседнего дома и хозяйственных построек (бани, гаража, сарая),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расположенных на соседних земельных участках  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от границ соседнего участка: </w:t>
            </w:r>
          </w:p>
          <w:p w:rsidR="00000000" w:rsidRDefault="00E32039">
            <w:pPr>
              <w:spacing w:line="100" w:lineRule="atLeast"/>
              <w:ind w:left="-6" w:right="-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>- до стволов высокорослых деревьев</w:t>
            </w:r>
          </w:p>
          <w:p w:rsidR="00000000" w:rsidRDefault="00E32039">
            <w:pPr>
              <w:spacing w:line="100" w:lineRule="atLeast"/>
              <w:ind w:left="-6" w:right="-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- до среднерослых деревьев         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000000" w:rsidRDefault="00E32039">
            <w:pPr>
              <w:spacing w:line="100" w:lineRule="atLeast"/>
              <w:ind w:left="-6" w:right="-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-  до кустарников 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2039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3м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4м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1м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</w:t>
            </w:r>
            <w:r>
              <w:rPr>
                <w:sz w:val="24"/>
                <w:szCs w:val="24"/>
                <w:lang w:val="ru-RU"/>
              </w:rPr>
              <w:t xml:space="preserve"> 6м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4м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2м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1м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2039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 30-102-99*, табл.1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 30-102-99*, табл.1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СП 30-102-99*, табл.1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30-102-99*, табл.1</w:t>
            </w: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СНиП 2.07.01-89*</w:t>
            </w:r>
          </w:p>
          <w:p w:rsidR="00000000" w:rsidRDefault="00E32039">
            <w:pPr>
              <w:spacing w:line="100" w:lineRule="atLeast"/>
              <w:jc w:val="both"/>
            </w:pPr>
            <w:r>
              <w:rPr>
                <w:sz w:val="24"/>
                <w:szCs w:val="24"/>
              </w:rPr>
              <w:t>СП 30-102-99*</w:t>
            </w:r>
          </w:p>
        </w:tc>
      </w:tr>
      <w:tr w:rsidR="00000000"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5. Минимальное расстояние от границ приусадебных участков до лесных массивов         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2039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 </w:t>
            </w:r>
            <w:r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2039">
            <w:pPr>
              <w:spacing w:line="100" w:lineRule="atLeast"/>
              <w:jc w:val="both"/>
            </w:pPr>
            <w:r>
              <w:rPr>
                <w:sz w:val="24"/>
                <w:szCs w:val="24"/>
              </w:rPr>
              <w:t xml:space="preserve">Техрегламент, глава 16 </w:t>
            </w:r>
          </w:p>
        </w:tc>
      </w:tr>
    </w:tbl>
    <w:p w:rsidR="00000000" w:rsidRDefault="00E32039">
      <w:pPr>
        <w:spacing w:line="100" w:lineRule="atLeast"/>
        <w:jc w:val="both"/>
      </w:pPr>
    </w:p>
    <w:p w:rsidR="00000000" w:rsidRDefault="00E32039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Животноводческое хозяйство </w:t>
      </w:r>
    </w:p>
    <w:p w:rsidR="00000000" w:rsidRDefault="00E32039">
      <w:pPr>
        <w:jc w:val="both"/>
        <w:rPr>
          <w:lang w:val="ru-RU"/>
        </w:rPr>
      </w:pPr>
      <w:r>
        <w:rPr>
          <w:sz w:val="24"/>
          <w:szCs w:val="24"/>
          <w:lang w:val="ru-RU"/>
        </w:rPr>
        <w:t>На приусадебном (приквартирном) участке допускается размещение животноводческого хозяйства не более 15 гол</w:t>
      </w:r>
      <w:r>
        <w:rPr>
          <w:sz w:val="24"/>
          <w:szCs w:val="24"/>
          <w:lang w:val="ru-RU"/>
        </w:rPr>
        <w:t>ов (КРС, свиней, лошадей, овец).</w:t>
      </w:r>
    </w:p>
    <w:p w:rsidR="00000000" w:rsidRDefault="00E32039">
      <w:pPr>
        <w:jc w:val="both"/>
        <w:rPr>
          <w:lang w:val="ru-RU"/>
        </w:rPr>
      </w:pPr>
    </w:p>
    <w:p w:rsidR="00000000" w:rsidRDefault="00A54209">
      <w:pPr>
        <w:jc w:val="both"/>
        <w:rPr>
          <w:i/>
          <w:sz w:val="24"/>
          <w:szCs w:val="24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2329180</wp:posOffset>
                </wp:positionV>
                <wp:extent cx="379730" cy="251523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730" cy="25152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3.3pt;margin-top:183.4pt;width:29.9pt;height:198.0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1757680</wp:posOffset>
                </wp:positionV>
                <wp:extent cx="960120" cy="571500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5715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2.95pt;margin-top:138.4pt;width:75.6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" filled="f" strokeweight=".26mm">
                <v:stroke joinstyle="miter" endcap="square"/>
              </v:oval>
            </w:pict>
          </mc:Fallback>
        </mc:AlternateContent>
      </w:r>
      <w:r>
        <w:rPr>
          <w:noProof/>
          <w:szCs w:val="28"/>
          <w:u w:val="single"/>
          <w:lang w:val="ru-RU" w:eastAsia="ru-RU"/>
        </w:rPr>
        <w:drawing>
          <wp:inline distT="0" distB="0" distL="0" distR="0">
            <wp:extent cx="5934075" cy="46386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2039">
      <w:pPr>
        <w:ind w:left="4320" w:firstLine="720"/>
        <w:jc w:val="both"/>
        <w:rPr>
          <w:i/>
          <w:sz w:val="24"/>
          <w:szCs w:val="24"/>
          <w:u w:val="single"/>
          <w:lang w:val="ru-RU"/>
        </w:rPr>
      </w:pPr>
      <w:r>
        <w:rPr>
          <w:i/>
          <w:sz w:val="24"/>
          <w:szCs w:val="24"/>
          <w:u w:val="single"/>
          <w:lang w:val="ru-RU"/>
        </w:rPr>
        <w:t>Размещение земельного участка</w:t>
      </w:r>
    </w:p>
    <w:p w:rsidR="00000000" w:rsidRDefault="00E32039">
      <w:pPr>
        <w:ind w:left="4320" w:firstLine="720"/>
        <w:jc w:val="both"/>
        <w:rPr>
          <w:i/>
          <w:sz w:val="24"/>
          <w:szCs w:val="24"/>
          <w:u w:val="single"/>
          <w:lang w:val="ru-RU"/>
        </w:rPr>
      </w:pPr>
    </w:p>
    <w:p w:rsidR="00000000" w:rsidRDefault="00E32039">
      <w:pPr>
        <w:ind w:left="4320" w:firstLine="720"/>
        <w:jc w:val="both"/>
        <w:rPr>
          <w:i/>
          <w:sz w:val="24"/>
          <w:szCs w:val="24"/>
          <w:u w:val="single"/>
          <w:lang w:val="ru-RU"/>
        </w:rPr>
      </w:pPr>
    </w:p>
    <w:p w:rsidR="00000000" w:rsidRDefault="00E32039">
      <w:pPr>
        <w:widowControl w:val="0"/>
        <w:tabs>
          <w:tab w:val="left" w:pos="0"/>
        </w:tabs>
        <w:spacing w:line="100" w:lineRule="atLeast"/>
        <w:jc w:val="right"/>
        <w:rPr>
          <w:sz w:val="16"/>
          <w:szCs w:val="16"/>
          <w:lang w:val="ru-RU"/>
        </w:rPr>
      </w:pPr>
      <w:r>
        <w:rPr>
          <w:sz w:val="24"/>
          <w:szCs w:val="24"/>
        </w:rPr>
        <w:t>Таблица 57</w:t>
      </w:r>
    </w:p>
    <w:tbl>
      <w:tblPr>
        <w:tblW w:w="0" w:type="auto"/>
        <w:tblInd w:w="-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"/>
        <w:gridCol w:w="674"/>
        <w:gridCol w:w="567"/>
        <w:gridCol w:w="567"/>
        <w:gridCol w:w="567"/>
        <w:gridCol w:w="709"/>
        <w:gridCol w:w="567"/>
        <w:gridCol w:w="708"/>
        <w:gridCol w:w="426"/>
        <w:gridCol w:w="1134"/>
        <w:gridCol w:w="708"/>
        <w:gridCol w:w="709"/>
        <w:gridCol w:w="567"/>
        <w:gridCol w:w="709"/>
        <w:gridCol w:w="855"/>
      </w:tblGrid>
      <w:tr w:rsidR="00000000">
        <w:trPr>
          <w:tblHeader/>
        </w:trPr>
        <w:tc>
          <w:tcPr>
            <w:tcW w:w="234" w:type="dxa"/>
            <w:vMerge w:val="restart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textDirection w:val="btL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</w:t>
            </w:r>
          </w:p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textDirection w:val="btL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879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E32039">
            <w:pPr>
              <w:autoSpaceDE w:val="0"/>
              <w:jc w:val="center"/>
            </w:pPr>
            <w:r>
              <w:rPr>
                <w:sz w:val="16"/>
                <w:szCs w:val="16"/>
                <w:lang w:val="ru-RU"/>
              </w:rPr>
              <w:t>Градостроительные регламенты территориальных зон, функциональные зоны для ко</w:t>
            </w:r>
            <w:r>
              <w:rPr>
                <w:sz w:val="16"/>
                <w:szCs w:val="16"/>
                <w:lang w:val="ru-RU"/>
              </w:rPr>
              <w:t>торых градостроительные регламенты не устанавливаются</w:t>
            </w:r>
          </w:p>
        </w:tc>
      </w:tr>
      <w:tr w:rsidR="00000000">
        <w:trPr>
          <w:tblHeader/>
        </w:trPr>
        <w:tc>
          <w:tcPr>
            <w:tcW w:w="234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E32039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E32039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autoSpaceDE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Предельные параметры земельных участков</w:t>
            </w:r>
          </w:p>
        </w:tc>
        <w:tc>
          <w:tcPr>
            <w:tcW w:w="468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E32039">
            <w:pPr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00000">
        <w:trPr>
          <w:cantSplit/>
          <w:trHeight w:val="2423"/>
          <w:tblHeader/>
        </w:trPr>
        <w:tc>
          <w:tcPr>
            <w:tcW w:w="234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E32039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E32039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Минимальная площадь земельных участков, (га)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ширина з</w:t>
            </w:r>
            <w:r>
              <w:rPr>
                <w:sz w:val="16"/>
                <w:szCs w:val="16"/>
                <w:lang w:val="ru-RU"/>
              </w:rPr>
              <w:t>емельных участков, (м)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Минимальная длина земельных участков, (м)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длина земельных участков, (м)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Норма делимости, (м)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spacing w:before="10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высота зданий, строений, сооружений (м.)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Минимальный процент застройки в границах земель</w:t>
            </w:r>
            <w:r>
              <w:rPr>
                <w:sz w:val="16"/>
                <w:szCs w:val="16"/>
                <w:lang w:val="ru-RU"/>
              </w:rPr>
              <w:t>ного участка*, (процент)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E32039">
            <w:pPr>
              <w:autoSpaceDE w:val="0"/>
              <w:ind w:left="113" w:right="113"/>
            </w:pPr>
            <w:r>
              <w:rPr>
                <w:sz w:val="16"/>
                <w:szCs w:val="16"/>
                <w:lang w:val="ru-RU"/>
              </w:rPr>
              <w:t>Максимальный процент застройки в границах земельного участка*, (процент)</w:t>
            </w:r>
          </w:p>
        </w:tc>
      </w:tr>
      <w:tr w:rsidR="00000000">
        <w:trPr>
          <w:trHeight w:val="45"/>
        </w:trPr>
        <w:tc>
          <w:tcPr>
            <w:tcW w:w="2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2039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2039">
            <w:pPr>
              <w:pStyle w:val="ae"/>
              <w:ind w:left="28" w:right="2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2039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</w:tr>
    </w:tbl>
    <w:p w:rsidR="00000000" w:rsidRDefault="00E32039">
      <w:pPr>
        <w:rPr>
          <w:sz w:val="20"/>
          <w:lang w:val="ru-RU"/>
        </w:rPr>
      </w:pPr>
      <w:r>
        <w:rPr>
          <w:sz w:val="20"/>
          <w:lang w:val="ru-RU"/>
        </w:rPr>
        <w:t xml:space="preserve">Примечание. </w:t>
      </w:r>
    </w:p>
    <w:p w:rsidR="00000000" w:rsidRDefault="00E32039">
      <w:pPr>
        <w:numPr>
          <w:ilvl w:val="1"/>
          <w:numId w:val="9"/>
        </w:numPr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>
        <w:rPr>
          <w:sz w:val="20"/>
          <w:lang w:val="ru-RU"/>
        </w:rPr>
        <w:t>* без учета эксплуатируемой кровли подземных, подвальных, цокольных частей объектов</w:t>
      </w:r>
    </w:p>
    <w:p w:rsidR="00000000" w:rsidRDefault="00E32039">
      <w:pPr>
        <w:numPr>
          <w:ilvl w:val="1"/>
          <w:numId w:val="9"/>
        </w:numPr>
        <w:rPr>
          <w:b/>
          <w:bCs/>
          <w:sz w:val="24"/>
          <w:szCs w:val="24"/>
          <w:lang w:val="ru-RU"/>
        </w:rPr>
      </w:pPr>
      <w:r>
        <w:rPr>
          <w:sz w:val="20"/>
          <w:lang w:val="ru-RU"/>
        </w:rPr>
        <w:t xml:space="preserve"> </w:t>
      </w:r>
      <w:r>
        <w:rPr>
          <w:sz w:val="20"/>
        </w:rPr>
        <w:t xml:space="preserve">НПУ- не </w:t>
      </w:r>
      <w:r>
        <w:rPr>
          <w:sz w:val="20"/>
        </w:rPr>
        <w:t>подлежат установлен</w:t>
      </w:r>
      <w:r>
        <w:rPr>
          <w:sz w:val="20"/>
          <w:lang w:val="ru-RU"/>
        </w:rPr>
        <w:t>ию</w:t>
      </w:r>
    </w:p>
    <w:p w:rsidR="00000000" w:rsidRDefault="00E32039">
      <w:pPr>
        <w:numPr>
          <w:ilvl w:val="0"/>
          <w:numId w:val="9"/>
        </w:num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</w:t>
      </w:r>
      <w:r>
        <w:rPr>
          <w:b/>
          <w:bCs/>
          <w:sz w:val="24"/>
          <w:szCs w:val="24"/>
          <w:lang w:val="ru-RU"/>
        </w:rPr>
        <w:t xml:space="preserve">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</w:t>
      </w:r>
      <w:r>
        <w:rPr>
          <w:b/>
          <w:bCs/>
          <w:sz w:val="24"/>
          <w:szCs w:val="24"/>
          <w:lang w:val="ru-RU"/>
        </w:rPr>
        <w:t>или для которого градостроительный регламент не устанавливается</w:t>
      </w:r>
    </w:p>
    <w:p w:rsidR="00000000" w:rsidRDefault="00E32039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4"/>
      </w:tblGrid>
      <w:tr w:rsidR="00000000">
        <w:trPr>
          <w:trHeight w:val="883"/>
        </w:trPr>
        <w:tc>
          <w:tcPr>
            <w:tcW w:w="9454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000000">
              <w:trPr>
                <w:trHeight w:val="227"/>
              </w:trPr>
              <w:tc>
                <w:tcPr>
                  <w:tcW w:w="945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E32039">
                  <w:pPr>
                    <w:jc w:val="center"/>
                  </w:pPr>
                  <w:r>
                    <w:rPr>
                      <w:sz w:val="22"/>
                      <w:szCs w:val="22"/>
                      <w:lang w:val="ru-RU"/>
                    </w:rPr>
                    <w:t>Решение  Кетовской районной  Думы от 25.07.2018 г. № 326</w:t>
                  </w:r>
                </w:p>
              </w:tc>
            </w:tr>
            <w:tr w:rsidR="00000000">
              <w:trPr>
                <w:trHeight w:val="140"/>
              </w:trPr>
              <w:tc>
                <w:tcPr>
                  <w:tcW w:w="9454" w:type="dxa"/>
                  <w:shd w:val="clear" w:color="auto" w:fill="auto"/>
                  <w:vAlign w:val="bottom"/>
                </w:tcPr>
                <w:p w:rsidR="00000000" w:rsidRDefault="00E32039">
                  <w:pPr>
                    <w:jc w:val="center"/>
                  </w:pPr>
                  <w:r>
                    <w:rPr>
                      <w:sz w:val="18"/>
                      <w:szCs w:val="18"/>
                      <w:lang w:val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000000">
              <w:trPr>
                <w:trHeight w:val="227"/>
              </w:trPr>
              <w:tc>
                <w:tcPr>
                  <w:tcW w:w="945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E32039">
                  <w:pPr>
                    <w:jc w:val="center"/>
                  </w:pPr>
                  <w:r>
                    <w:rPr>
                      <w:sz w:val="22"/>
                      <w:szCs w:val="22"/>
                      <w:lang w:val="ru-RU"/>
                    </w:rPr>
                    <w:t>«Об утверждении правил землепользования и застройки Становского сель</w:t>
                  </w:r>
                  <w:r>
                    <w:rPr>
                      <w:sz w:val="22"/>
                      <w:szCs w:val="22"/>
                      <w:lang w:val="ru-RU"/>
                    </w:rPr>
                    <w:t>совета Кетовского района Курганской области»</w:t>
                  </w:r>
                </w:p>
              </w:tc>
            </w:tr>
            <w:tr w:rsidR="00000000">
              <w:trPr>
                <w:trHeight w:val="140"/>
              </w:trPr>
              <w:tc>
                <w:tcPr>
                  <w:tcW w:w="9454" w:type="dxa"/>
                  <w:shd w:val="clear" w:color="auto" w:fill="auto"/>
                  <w:vAlign w:val="bottom"/>
                </w:tcPr>
                <w:p w:rsidR="00000000" w:rsidRDefault="00E32039">
                  <w:pPr>
                    <w:jc w:val="center"/>
                  </w:pPr>
                  <w:r>
                    <w:rPr>
                      <w:sz w:val="18"/>
                      <w:szCs w:val="18"/>
                      <w:lang w:val="ru-RU"/>
                    </w:rPr>
                    <w:t>реквизиты акта об утверждении правил)</w:t>
                  </w:r>
                </w:p>
              </w:tc>
            </w:tr>
          </w:tbl>
          <w:p w:rsidR="00000000" w:rsidRDefault="00E32039">
            <w:pPr>
              <w:rPr>
                <w:sz w:val="16"/>
                <w:szCs w:val="16"/>
                <w:lang w:val="ru-RU"/>
              </w:rPr>
            </w:pPr>
          </w:p>
        </w:tc>
      </w:tr>
      <w:tr w:rsidR="00000000">
        <w:trPr>
          <w:trHeight w:val="120"/>
        </w:trPr>
        <w:tc>
          <w:tcPr>
            <w:tcW w:w="9454" w:type="dxa"/>
            <w:shd w:val="clear" w:color="auto" w:fill="auto"/>
            <w:vAlign w:val="bottom"/>
          </w:tcPr>
          <w:p w:rsidR="00000000" w:rsidRDefault="00E3203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00000">
        <w:trPr>
          <w:trHeight w:val="521"/>
        </w:trPr>
        <w:tc>
          <w:tcPr>
            <w:tcW w:w="9454" w:type="dxa"/>
            <w:shd w:val="clear" w:color="auto" w:fill="auto"/>
            <w:vAlign w:val="bottom"/>
          </w:tcPr>
          <w:p w:rsidR="00000000" w:rsidRDefault="00E32039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000000" w:rsidRDefault="00E32039">
            <w:pPr>
              <w:rPr>
                <w:sz w:val="16"/>
                <w:szCs w:val="16"/>
                <w:lang w:val="ru-RU"/>
              </w:rPr>
            </w:pPr>
          </w:p>
          <w:p w:rsidR="00000000" w:rsidRDefault="00E32039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000000" w:rsidRDefault="00E32039">
      <w:pPr>
        <w:jc w:val="both"/>
        <w:rPr>
          <w:sz w:val="24"/>
          <w:szCs w:val="24"/>
          <w:lang w:val="ru-RU"/>
        </w:rPr>
      </w:pPr>
    </w:p>
    <w:p w:rsidR="00000000" w:rsidRDefault="00E3203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отдела архитектуры и градостроительства                               А,О. Ковешников</w:t>
      </w: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000000" w:rsidRDefault="00E32039">
      <w:pPr>
        <w:ind w:right="-574" w:firstLine="709"/>
        <w:jc w:val="both"/>
        <w:rPr>
          <w:sz w:val="24"/>
          <w:szCs w:val="24"/>
          <w:lang w:val="ru-RU"/>
        </w:rPr>
      </w:pPr>
    </w:p>
    <w:p w:rsidR="00E32039" w:rsidRDefault="00E32039">
      <w:pPr>
        <w:ind w:right="-574" w:firstLine="709"/>
        <w:jc w:val="both"/>
      </w:pPr>
    </w:p>
    <w:sectPr w:rsidR="00E320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993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39" w:rsidRDefault="00E32039">
      <w:r>
        <w:separator/>
      </w:r>
    </w:p>
  </w:endnote>
  <w:endnote w:type="continuationSeparator" w:id="0">
    <w:p w:rsidR="00E32039" w:rsidRDefault="00E3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84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0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0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039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03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03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39" w:rsidRDefault="00E32039">
      <w:r>
        <w:separator/>
      </w:r>
    </w:p>
  </w:footnote>
  <w:footnote w:type="continuationSeparator" w:id="0">
    <w:p w:rsidR="00E32039" w:rsidRDefault="00E3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209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6929120</wp:posOffset>
              </wp:positionH>
              <wp:positionV relativeFrom="paragraph">
                <wp:posOffset>635</wp:posOffset>
              </wp:positionV>
              <wp:extent cx="90170" cy="20828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32039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6pt;margin-top:.05pt;width:7.1pt;height:16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" stroked="f">
              <v:fill opacity="0"/>
              <v:textbox inset="0,0,0,0">
                <w:txbxContent>
                  <w:p w:rsidR="00000000" w:rsidRDefault="00E32039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0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03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209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6929120</wp:posOffset>
              </wp:positionH>
              <wp:positionV relativeFrom="paragraph">
                <wp:posOffset>635</wp:posOffset>
              </wp:positionV>
              <wp:extent cx="90170" cy="2082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32039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6pt;margin-top:.05pt;width:7.1pt;height:16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" stroked="f">
              <v:fill opacity="0"/>
              <v:textbox inset="0,0,0,0">
                <w:txbxContent>
                  <w:p w:rsidR="00000000" w:rsidRDefault="00E32039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0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bCs/>
        <w:spacing w:val="-1"/>
        <w:sz w:val="22"/>
        <w:szCs w:val="22"/>
        <w:lang w:val="ru-RU"/>
      </w:rPr>
    </w:lvl>
  </w:abstractNum>
  <w:abstractNum w:abstractNumId="7">
    <w:nsid w:val="00000008"/>
    <w:multiLevelType w:val="singleLevel"/>
    <w:tmpl w:val="00000008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16"/>
        <w:szCs w:val="24"/>
      </w:rPr>
    </w:lvl>
  </w:abstractNum>
  <w:abstractNum w:abstractNumId="8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sz w:val="20"/>
        <w:lang w:val="ru-RU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8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9"/>
    <w:rsid w:val="00A54209"/>
    <w:rsid w:val="00E3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z w:val="20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OpenSymbol"/>
      <w:sz w:val="20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OpenSymbol"/>
      <w:sz w:val="20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b w:val="0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font384" w:hAnsi="font384" w:cs="OpenSymbol"/>
      <w:sz w:val="24"/>
      <w:szCs w:val="29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19z1">
    <w:name w:val="WW8Num19z1"/>
    <w:rPr>
      <w:rFonts w:hint="default"/>
      <w:lang w:val="ru-RU" w:eastAsia="ru-RU" w:bidi="ru-RU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25z1">
    <w:name w:val="WW8Num25z1"/>
    <w:rPr>
      <w:rFonts w:hint="default"/>
      <w:lang w:val="ru-RU" w:eastAsia="ru-RU" w:bidi="ru-RU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lang w:val="ru-RU" w:eastAsia="ru-RU" w:bidi="ru-RU"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30z1">
    <w:name w:val="WW8Num30z1"/>
    <w:rPr>
      <w:rFonts w:hint="default"/>
      <w:lang w:val="ru-RU" w:eastAsia="ru-RU" w:bidi="ru-RU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16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sz w:val="20"/>
      <w:lang w:val="ru-RU"/>
    </w:rPr>
  </w:style>
  <w:style w:type="character" w:customStyle="1" w:styleId="WW8Num34z2">
    <w:name w:val="WW8Num34z2"/>
  </w:style>
  <w:style w:type="character" w:customStyle="1" w:styleId="WW8Num34z3">
    <w:name w:val="WW8Num34z3"/>
    <w:rPr>
      <w:b w:val="0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4">
    <w:name w:val="Таблица ГП Знак"/>
    <w:rPr>
      <w:rFonts w:ascii="Tahoma" w:hAnsi="Tahoma" w:cs="Tahoma"/>
      <w:lang w:val="en-U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6">
    <w:name w:val="Body Text"/>
    <w:basedOn w:val="a"/>
    <w:pPr>
      <w:jc w:val="both"/>
    </w:pPr>
    <w:rPr>
      <w:lang w:val="ru-RU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c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pPr>
      <w:widowControl w:val="0"/>
      <w:jc w:val="both"/>
    </w:pPr>
    <w:rPr>
      <w:sz w:val="24"/>
      <w:szCs w:val="24"/>
      <w:lang w:val="ru-RU"/>
    </w:rPr>
  </w:style>
  <w:style w:type="paragraph" w:customStyle="1" w:styleId="af">
    <w:name w:val="Таблица ГП"/>
    <w:basedOn w:val="a"/>
    <w:pPr>
      <w:jc w:val="both"/>
    </w:pPr>
    <w:rPr>
      <w:rFonts w:ascii="Tahoma" w:hAnsi="Tahoma" w:cs="Tahoma"/>
      <w:sz w:val="20"/>
      <w:lang w:val="en-US"/>
    </w:rPr>
  </w:style>
  <w:style w:type="paragraph" w:customStyle="1" w:styleId="af0">
    <w:name w:val="Содержимое врезки"/>
    <w:basedOn w:val="a6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z w:val="20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OpenSymbol"/>
      <w:sz w:val="20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OpenSymbol"/>
      <w:sz w:val="20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b w:val="0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font384" w:hAnsi="font384" w:cs="OpenSymbol"/>
      <w:sz w:val="24"/>
      <w:szCs w:val="29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19z1">
    <w:name w:val="WW8Num19z1"/>
    <w:rPr>
      <w:rFonts w:hint="default"/>
      <w:lang w:val="ru-RU" w:eastAsia="ru-RU" w:bidi="ru-RU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25z1">
    <w:name w:val="WW8Num25z1"/>
    <w:rPr>
      <w:rFonts w:hint="default"/>
      <w:lang w:val="ru-RU" w:eastAsia="ru-RU" w:bidi="ru-RU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lang w:val="ru-RU" w:eastAsia="ru-RU" w:bidi="ru-RU"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30z1">
    <w:name w:val="WW8Num30z1"/>
    <w:rPr>
      <w:rFonts w:hint="default"/>
      <w:lang w:val="ru-RU" w:eastAsia="ru-RU" w:bidi="ru-RU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16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sz w:val="20"/>
      <w:lang w:val="ru-RU"/>
    </w:rPr>
  </w:style>
  <w:style w:type="character" w:customStyle="1" w:styleId="WW8Num34z2">
    <w:name w:val="WW8Num34z2"/>
  </w:style>
  <w:style w:type="character" w:customStyle="1" w:styleId="WW8Num34z3">
    <w:name w:val="WW8Num34z3"/>
    <w:rPr>
      <w:b w:val="0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4">
    <w:name w:val="Таблица ГП Знак"/>
    <w:rPr>
      <w:rFonts w:ascii="Tahoma" w:hAnsi="Tahoma" w:cs="Tahoma"/>
      <w:lang w:val="en-U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6">
    <w:name w:val="Body Text"/>
    <w:basedOn w:val="a"/>
    <w:pPr>
      <w:jc w:val="both"/>
    </w:pPr>
    <w:rPr>
      <w:lang w:val="ru-RU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c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pPr>
      <w:widowControl w:val="0"/>
      <w:jc w:val="both"/>
    </w:pPr>
    <w:rPr>
      <w:sz w:val="24"/>
      <w:szCs w:val="24"/>
      <w:lang w:val="ru-RU"/>
    </w:rPr>
  </w:style>
  <w:style w:type="paragraph" w:customStyle="1" w:styleId="af">
    <w:name w:val="Таблица ГП"/>
    <w:basedOn w:val="a"/>
    <w:pPr>
      <w:jc w:val="both"/>
    </w:pPr>
    <w:rPr>
      <w:rFonts w:ascii="Tahoma" w:hAnsi="Tahoma" w:cs="Tahoma"/>
      <w:sz w:val="20"/>
      <w:lang w:val="en-US"/>
    </w:rPr>
  </w:style>
  <w:style w:type="paragraph" w:customStyle="1" w:styleId="af0">
    <w:name w:val="Содержимое врезки"/>
    <w:basedOn w:val="a6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45T008</dc:creator>
  <cp:lastModifiedBy>555</cp:lastModifiedBy>
  <cp:revision>2</cp:revision>
  <cp:lastPrinted>2019-04-24T09:50:00Z</cp:lastPrinted>
  <dcterms:created xsi:type="dcterms:W3CDTF">2019-05-17T03:47:00Z</dcterms:created>
  <dcterms:modified xsi:type="dcterms:W3CDTF">2019-05-17T03:47:00Z</dcterms:modified>
</cp:coreProperties>
</file>