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9F" w:rsidRDefault="00B53EA8">
      <w:pPr>
        <w:pStyle w:val="Standard"/>
        <w:spacing w:after="0" w:line="240" w:lineRule="auto"/>
        <w:ind w:firstLine="72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39279" cy="4112640"/>
            <wp:effectExtent l="0" t="0" r="4321" b="2160"/>
            <wp:wrapSquare wrapText="bothSides"/>
            <wp:docPr id="1" name="с.Колташево Ключ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279" cy="41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09F" w:rsidRDefault="00B53EA8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Приложение №3</w:t>
      </w:r>
    </w:p>
    <w:p w:rsidR="00CE609F" w:rsidRDefault="00CE609F">
      <w:pPr>
        <w:pStyle w:val="Standard"/>
        <w:spacing w:after="0" w:line="240" w:lineRule="auto"/>
        <w:ind w:firstLine="720"/>
        <w:jc w:val="both"/>
      </w:pPr>
    </w:p>
    <w:p w:rsidR="00CE609F" w:rsidRDefault="00B53EA8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 Правил землепользования и застройки Колташевского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сельсовета Кетовского района Курганской области для земельного участка площадью 1000 кв.м., с кадастровым номером 45:08:012901:1846 расположенном по адресу: Курганская область, Кетовский район, с. Колташево, микрорайон Ключи, 253 сообщаем:</w:t>
      </w:r>
    </w:p>
    <w:p w:rsidR="00CE609F" w:rsidRDefault="00CE609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E609F" w:rsidRDefault="00B53EA8">
      <w:pPr>
        <w:pStyle w:val="Standard"/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устанавливается.</w:t>
      </w:r>
    </w:p>
    <w:p w:rsidR="00CE609F" w:rsidRDefault="00CE609F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CE609F" w:rsidRDefault="00B53EA8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CE609F" w:rsidRDefault="00B53EA8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CE609F" w:rsidRDefault="00CE609F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9F" w:rsidRDefault="00B53EA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Колташевского сельсовета Кетовского района Курганской области:</w:t>
      </w:r>
    </w:p>
    <w:p w:rsidR="00CE609F" w:rsidRDefault="00CE609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E609F" w:rsidRDefault="00B53EA8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48.1.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ab/>
        <w:t xml:space="preserve">Зона индивидуальной жилой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>застройки и личного подсобного хозяйства (Ж-1)</w:t>
      </w:r>
    </w:p>
    <w:p w:rsidR="00CE609F" w:rsidRDefault="00B53EA8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ab/>
        <w:t>Основные виды разрешенного использования</w:t>
      </w:r>
    </w:p>
    <w:p w:rsidR="00CE609F" w:rsidRDefault="00B53EA8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jc w:val="right"/>
        <w:outlineLvl w:val="2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Таблица 2</w:t>
      </w:r>
    </w:p>
    <w:tbl>
      <w:tblPr>
        <w:tblW w:w="9133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4"/>
        <w:gridCol w:w="2836"/>
      </w:tblGrid>
      <w:tr w:rsidR="00CE609F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35" w:after="0" w:line="240" w:lineRule="auto"/>
              <w:ind w:left="667" w:right="364" w:hanging="27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 разрешенного использования</w:t>
            </w: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37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земельных участков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before="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192" w:lineRule="auto"/>
              <w:ind w:left="316" w:firstLine="153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2" w:after="0" w:line="276" w:lineRule="exact"/>
              <w:ind w:left="122" w:right="108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Параметры разрешенного строительства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использования земельных участков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07" w:right="13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 индивидуального жилищного строительства (код 2.1)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Индивидуальный жилой дом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Дом, пригодный для постоянного проживания, высотой не выше трех этажей. Максимальный процент застройки земельного участка - 30%, другие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параметры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</w:p>
          <w:p w:rsidR="00CE609F" w:rsidRDefault="00B53EA8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таблице 60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207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07" w:right="9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 ведения личного подсобного хозяйства (код 2.2)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before="221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Жилой дом, не предназначенный для раздела на квартиры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Дом, пригодный для постоянного проживания, высотой не выше трех этажей. Максимальный процент застройки земельного участка -</w:t>
            </w:r>
            <w:r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30%,</w:t>
            </w:r>
          </w:p>
          <w:p w:rsidR="00CE609F" w:rsidRDefault="00B53EA8">
            <w:pPr>
              <w:pStyle w:val="Standard"/>
              <w:widowControl w:val="0"/>
              <w:spacing w:after="0" w:line="270" w:lineRule="atLeast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 параметры в таблице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before="222" w:after="0" w:line="240" w:lineRule="auto"/>
              <w:ind w:left="107" w:right="592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(код 2.3)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before="199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Блокированные жилые дома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2094"/>
              </w:tabs>
              <w:spacing w:after="0" w:line="240" w:lineRule="auto"/>
              <w:ind w:left="110" w:right="9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Этажность – не выше 3-х этажей. Блокированные двухквартирные жилые дома, состоящие из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двух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блоков.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Максимальный процент застройки земельного участка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- 30% на один блок,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</w:t>
            </w:r>
          </w:p>
          <w:p w:rsidR="00CE609F" w:rsidRDefault="00B53EA8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параметры в таблице 60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07" w:right="598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Обслуживание жилой застройки (код 2.7)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2494"/>
                <w:tab w:val="left" w:pos="3461"/>
              </w:tabs>
              <w:spacing w:after="0" w:line="240" w:lineRule="auto"/>
              <w:ind w:left="110" w:right="9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Объекты капитального строительства, размещение которых предусмотрено видами разрешенного использования с кодами 3.1 (коммунальное обслу- живание), 3.4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(здравоохранение), 3.4.1 (амбулаторно-поликлиническое обслужи- вание), 3.10.1 (амбулаторное ветери- нарное обслуживание), 4.7 (гостиничное обслуживание), если их размещение связано с удовлетворением повседневных потребностей жителей, не причиняет вреда окр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ужающей среде и санитарному благополучию, не причиняет</w:t>
            </w:r>
          </w:p>
          <w:p w:rsidR="00CE609F" w:rsidRDefault="00B53EA8">
            <w:pPr>
              <w:pStyle w:val="Standard"/>
              <w:widowControl w:val="0"/>
              <w:spacing w:after="0" w:line="270" w:lineRule="atLeast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существенного неудобства жителям, не требует установления санитарной зоны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CE609F">
            <w:pPr>
              <w:pStyle w:val="Standard"/>
              <w:widowControl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Таблица 60, 61</w:t>
            </w:r>
          </w:p>
        </w:tc>
      </w:tr>
    </w:tbl>
    <w:p w:rsidR="00CE609F" w:rsidRDefault="00B53EA8">
      <w:pPr>
        <w:pStyle w:val="Standard"/>
        <w:keepNext/>
        <w:widowControl w:val="0"/>
        <w:tabs>
          <w:tab w:val="left" w:pos="45"/>
          <w:tab w:val="left" w:pos="90"/>
        </w:tabs>
        <w:spacing w:before="119" w:after="62" w:line="100" w:lineRule="atLeast"/>
        <w:ind w:left="45"/>
        <w:outlineLvl w:val="2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- В основных видах использования из разрешенных пунктом 3.3 Классификатора предусматриваетсятолько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размещение бань для индивидуального пользования</w:t>
      </w:r>
    </w:p>
    <w:p w:rsidR="00CE609F" w:rsidRDefault="00CE609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E609F" w:rsidRDefault="00B53EA8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640" cy="4113000"/>
            <wp:effectExtent l="0" t="0" r="3960" b="180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640" cy="4113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609F" w:rsidRDefault="00B53EA8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CE609F" w:rsidRDefault="00CE609F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CE609F" w:rsidRDefault="00B53EA8">
      <w:pPr>
        <w:pStyle w:val="Standard"/>
        <w:widowControl w:val="0"/>
        <w:numPr>
          <w:ilvl w:val="0"/>
          <w:numId w:val="7"/>
        </w:numPr>
        <w:tabs>
          <w:tab w:val="left" w:pos="483"/>
        </w:tabs>
        <w:spacing w:before="91" w:after="0" w:line="297" w:lineRule="exact"/>
      </w:pPr>
      <w:r>
        <w:rPr>
          <w:rFonts w:ascii="Times New Roman" w:hAnsi="Times New Roman"/>
          <w:spacing w:val="-5"/>
          <w:sz w:val="24"/>
          <w:lang w:eastAsia="ru-RU"/>
        </w:rPr>
        <w:t xml:space="preserve">Условно </w:t>
      </w:r>
      <w:r>
        <w:rPr>
          <w:rFonts w:ascii="Times New Roman" w:hAnsi="Times New Roman"/>
          <w:sz w:val="24"/>
          <w:lang w:eastAsia="ru-RU"/>
        </w:rPr>
        <w:t>разрешенные виды</w:t>
      </w:r>
      <w:r>
        <w:rPr>
          <w:rFonts w:ascii="Times New Roman" w:hAnsi="Times New Roman"/>
          <w:spacing w:val="2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использования</w:t>
      </w:r>
    </w:p>
    <w:p w:rsidR="00CE609F" w:rsidRDefault="00B53EA8">
      <w:pPr>
        <w:pStyle w:val="Standard"/>
        <w:spacing w:after="8" w:line="274" w:lineRule="exact"/>
        <w:ind w:right="282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tbl>
      <w:tblPr>
        <w:tblW w:w="9275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3"/>
        <w:gridCol w:w="2979"/>
      </w:tblGrid>
      <w:tr w:rsidR="00CE60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36" w:after="0" w:line="240" w:lineRule="auto"/>
              <w:ind w:left="667" w:right="364" w:hanging="27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Виды разрешенного использования</w:t>
            </w: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37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187" w:lineRule="auto"/>
              <w:ind w:left="316" w:firstLine="153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40" w:lineRule="auto"/>
              <w:ind w:left="122" w:right="1076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Параметры разрешенного строительств и использования земельных участков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before="4" w:after="0" w:line="240" w:lineRule="auto"/>
              <w:rPr>
                <w:rFonts w:ascii="Times New Roman" w:eastAsia="Times New Roman" w:hAnsi="Times New Roman"/>
                <w:sz w:val="35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Магазины (код 4.4)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1385"/>
                <w:tab w:val="left" w:pos="3028"/>
              </w:tabs>
              <w:spacing w:after="0" w:line="240" w:lineRule="auto"/>
              <w:ind w:left="110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Объекты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капитального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строительства, предназначенные для продажи</w:t>
            </w:r>
            <w:r>
              <w:rPr>
                <w:rFonts w:ascii="Times New Roman" w:eastAsia="Times New Roman" w:hAnsi="Times New Roman"/>
                <w:spacing w:val="-5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товаров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40" w:lineRule="auto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Ограничение торговой площади магазинов в сельской жилой застройке</w:t>
            </w:r>
          </w:p>
          <w:p w:rsidR="00CE609F" w:rsidRDefault="00B53EA8">
            <w:pPr>
              <w:pStyle w:val="Standard"/>
              <w:widowControl w:val="0"/>
              <w:spacing w:after="0" w:line="266" w:lineRule="exact"/>
              <w:ind w:left="143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до 50 кв. м</w:t>
            </w:r>
          </w:p>
        </w:tc>
      </w:tr>
    </w:tbl>
    <w:p w:rsidR="00CE609F" w:rsidRDefault="00B53EA8">
      <w:pPr>
        <w:pStyle w:val="Standard"/>
        <w:widowControl w:val="0"/>
        <w:numPr>
          <w:ilvl w:val="0"/>
          <w:numId w:val="7"/>
        </w:numPr>
        <w:tabs>
          <w:tab w:val="left" w:pos="483"/>
        </w:tabs>
        <w:spacing w:before="89" w:after="0" w:line="296" w:lineRule="exact"/>
      </w:pPr>
      <w:r>
        <w:rPr>
          <w:rFonts w:ascii="Times New Roman" w:hAnsi="Times New Roman"/>
          <w:sz w:val="24"/>
          <w:lang w:eastAsia="ru-RU"/>
        </w:rPr>
        <w:t>Вспомогательные виды разрешенного</w:t>
      </w:r>
      <w:r>
        <w:rPr>
          <w:rFonts w:ascii="Times New Roman" w:hAnsi="Times New Roman"/>
          <w:spacing w:val="-4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использования</w:t>
      </w:r>
    </w:p>
    <w:p w:rsidR="00CE609F" w:rsidRDefault="00B53EA8">
      <w:pPr>
        <w:pStyle w:val="Standard"/>
        <w:spacing w:after="8" w:line="273" w:lineRule="exact"/>
        <w:ind w:right="282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tbl>
      <w:tblPr>
        <w:tblW w:w="9275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3543"/>
        <w:gridCol w:w="2979"/>
      </w:tblGrid>
      <w:tr w:rsidR="00CE609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35" w:after="0" w:line="240" w:lineRule="auto"/>
              <w:ind w:left="667" w:right="364" w:hanging="276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Виды разрешенного использования</w:t>
            </w:r>
          </w:p>
          <w:p w:rsidR="00CE609F" w:rsidRDefault="00B53EA8">
            <w:pPr>
              <w:pStyle w:val="Standard"/>
              <w:widowControl w:val="0"/>
              <w:spacing w:before="1" w:after="0" w:line="240" w:lineRule="auto"/>
              <w:ind w:left="374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187" w:lineRule="auto"/>
              <w:ind w:left="316" w:firstLine="153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40" w:lineRule="auto"/>
              <w:ind w:left="122" w:right="108" w:hanging="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Параметры разрешенного строительства и</w:t>
            </w:r>
          </w:p>
          <w:p w:rsidR="00CE609F" w:rsidRDefault="00B53EA8">
            <w:pPr>
              <w:pStyle w:val="Standard"/>
              <w:widowControl w:val="0"/>
              <w:spacing w:after="0" w:line="276" w:lineRule="exact"/>
              <w:ind w:left="14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использования земельных участков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36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07" w:right="13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Для индивидуального жилищного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строительства (код 2.1)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58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Индивидуальный гараж</w:t>
            </w:r>
          </w:p>
        </w:tc>
        <w:tc>
          <w:tcPr>
            <w:tcW w:w="2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before="3" w:after="0" w:line="270" w:lineRule="atLeast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Предельные параметры в 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 крыш объектов должен осуществляться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на земельный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участок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Подсобные сооружения</w:t>
            </w:r>
          </w:p>
        </w:tc>
        <w:tc>
          <w:tcPr>
            <w:tcW w:w="2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2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40" w:lineRule="auto"/>
              <w:ind w:left="110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Выращивание плодовых, ягодных, овощных, бахчевых или иных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декоративных или сельскохозяйственных</w:t>
            </w:r>
          </w:p>
          <w:p w:rsidR="00CE609F" w:rsidRDefault="00B53EA8">
            <w:pPr>
              <w:pStyle w:val="Standard"/>
              <w:widowControl w:val="0"/>
              <w:spacing w:after="0" w:line="264" w:lineRule="exact"/>
              <w:ind w:left="110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культур</w:t>
            </w:r>
          </w:p>
        </w:tc>
        <w:tc>
          <w:tcPr>
            <w:tcW w:w="2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Гараж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6" w:after="0" w:line="250" w:lineRule="exact"/>
              <w:ind w:left="143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Предельные параметры в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5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35" w:after="0" w:line="240" w:lineRule="auto"/>
              <w:ind w:left="107" w:right="9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Для ведения личного подсобного хозяйства (код 2.2)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Иные вспомогательные сооружения</w:t>
            </w:r>
          </w:p>
        </w:tc>
        <w:tc>
          <w:tcPr>
            <w:tcW w:w="297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after="0" w:line="240" w:lineRule="auto"/>
              <w:ind w:left="143" w:right="94"/>
              <w:jc w:val="both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 крыш объектов должен осуществляться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на земельный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 xml:space="preserve">участок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2244"/>
              </w:tabs>
              <w:spacing w:after="0" w:line="268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Производство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сельскохозяйственной</w:t>
            </w:r>
          </w:p>
          <w:p w:rsidR="00CE609F" w:rsidRDefault="00B53EA8">
            <w:pPr>
              <w:pStyle w:val="Standard"/>
              <w:widowControl w:val="0"/>
              <w:spacing w:after="0" w:line="26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продукции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7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2211"/>
              </w:tabs>
              <w:spacing w:after="0" w:line="270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Содержание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  <w:t>сельскохозяйственных</w:t>
            </w:r>
          </w:p>
          <w:p w:rsidR="00CE609F" w:rsidRDefault="00B53EA8">
            <w:pPr>
              <w:pStyle w:val="Standard"/>
              <w:widowControl w:val="0"/>
              <w:spacing w:after="0" w:line="26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животных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 w:bidi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09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Индивидуальный гараж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48" w:lineRule="exact"/>
              <w:ind w:left="143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Предельные параметры в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5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29" w:after="0" w:line="240" w:lineRule="auto"/>
              <w:ind w:left="107" w:right="592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Блокированная жилая застройка</w:t>
            </w: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07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(код 2.3)</w:t>
            </w: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297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tabs>
                <w:tab w:val="left" w:pos="1176"/>
                <w:tab w:val="left" w:pos="2400"/>
              </w:tabs>
              <w:spacing w:after="0" w:line="240" w:lineRule="auto"/>
              <w:ind w:left="143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таблице 61. </w:t>
            </w:r>
            <w:r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Водоотвод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с крыш объектов </w:t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>должен</w:t>
            </w:r>
          </w:p>
          <w:p w:rsidR="00CE609F" w:rsidRDefault="00B53EA8">
            <w:pPr>
              <w:pStyle w:val="Standard"/>
              <w:widowControl w:val="0"/>
              <w:tabs>
                <w:tab w:val="left" w:pos="2366"/>
                <w:tab w:val="left" w:pos="2920"/>
              </w:tabs>
              <w:spacing w:after="0" w:line="270" w:lineRule="atLeast"/>
              <w:ind w:left="143" w:right="94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осуществляться на земельный </w:t>
            </w:r>
            <w:r>
              <w:rPr>
                <w:rFonts w:ascii="Times New Roman" w:eastAsia="Times New Roman" w:hAnsi="Times New Roman"/>
                <w:spacing w:val="-1"/>
                <w:sz w:val="24"/>
                <w:lang w:eastAsia="ru-RU" w:bidi="ru-RU"/>
              </w:rPr>
              <w:t>участок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7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40" w:after="0" w:line="240" w:lineRule="auto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Иные вспомогательные сооружения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7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54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Разведение декоративных и плодовых</w:t>
            </w:r>
          </w:p>
        </w:tc>
        <w:tc>
          <w:tcPr>
            <w:tcW w:w="297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7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56" w:lineRule="exact"/>
              <w:ind w:left="110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деревьев, овощных и ягодных культур</w:t>
            </w:r>
          </w:p>
        </w:tc>
        <w:tc>
          <w:tcPr>
            <w:tcW w:w="29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56" w:lineRule="exact"/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собственника</w:t>
            </w:r>
          </w:p>
        </w:tc>
      </w:tr>
    </w:tbl>
    <w:p w:rsidR="00CE609F" w:rsidRDefault="00CE609F">
      <w:pPr>
        <w:pStyle w:val="Standard"/>
        <w:widowControl w:val="0"/>
        <w:spacing w:after="0" w:line="100" w:lineRule="atLeast"/>
        <w:ind w:firstLine="68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Дополнительные нормируемые параметры использования земельных участков (для зон Ж-1 и Ж-2):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При проектировании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территории малоэтажной жилой застройки следует принимать следующие расстояния: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внешних стен индивидуального или блокированного жилого дома до красной линии улицы следует принимать не менее 5 м (от красной линии проезда – не менее 3 м), до ограждения у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частка следует принимать не менее 4,5 м, со стороны вводов инженерных сетей при организации колодцев на территории участка – не менее 6 м;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края лесопаркового массива до границ ближних участков жилой застройки – не менее 30 м.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До границы смежного зе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мельного участка расстояния по санитарно-гигиеническим условиям и в зависимости от степени огнестойкости должны быть не менее: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индивидуального и блокированного (двухквартирного) жилого дома – 3 м;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постройки для содержания скота и птицы – 4 м;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 других построек (бани, автостоянки и др.) – 1 м;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стволов высокорослых деревьев – 4 м;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стволов среднерослых деревьев – 2 м;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от кустарника – 1 м.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 территориях с застройкой индивидуальными жилыми домами или блокированными (двухквартирными) жил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Вид ограждения участка и его высота должны быть единообразными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как минимум, на протяжении одного квартала с обеих сторон улицы. Максимальная высота ограждений между смежными участками устанавливается не более 220 см, по красной линии не более 250 см.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Содержание скота и птицы на приусадебных участках допускается т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олько в районах усадебной застройки сельского типа с размером приусадебного участка не менее 0,1 га.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5)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Нахождение животных за пределами подворья без надзора запрещено. Владелец животных не должен допускать загрязнения навозом и пометом дворов и окружающей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территории, а в случае загрязнения немедленно устранить его (убрать навоз и помет). Обезвреживание навоза и помета в личном подсобном хозяйстве осуществляется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методом компостирования на приусадебном участке в специально отведенных местах, исключающих расп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 и помета Владелец обязан обеспечить  его вывоз в специ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Курганской области.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both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При строительстве хозяйственных построек для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содержания и разведения животных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таблице:</w:t>
      </w:r>
    </w:p>
    <w:p w:rsidR="00CE609F" w:rsidRDefault="00B53EA8">
      <w:pPr>
        <w:pStyle w:val="Standard"/>
        <w:widowControl w:val="0"/>
        <w:spacing w:after="0" w:line="100" w:lineRule="atLeast"/>
        <w:ind w:firstLine="680"/>
        <w:jc w:val="right"/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Таблица 8</w:t>
      </w:r>
    </w:p>
    <w:tbl>
      <w:tblPr>
        <w:tblW w:w="9587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170"/>
        <w:gridCol w:w="116"/>
        <w:gridCol w:w="1769"/>
        <w:gridCol w:w="1124"/>
        <w:gridCol w:w="1286"/>
        <w:gridCol w:w="1124"/>
        <w:gridCol w:w="1449"/>
      </w:tblGrid>
      <w:tr w:rsidR="00CE609F">
        <w:tblPrEx>
          <w:tblCellMar>
            <w:top w:w="0" w:type="dxa"/>
            <w:bottom w:w="0" w:type="dxa"/>
          </w:tblCellMar>
        </w:tblPrEx>
        <w:trPr>
          <w:gridAfter w:val="6"/>
          <w:wAfter w:w="6053" w:type="dxa"/>
          <w:trHeight w:val="275"/>
        </w:trPr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45" w:after="0" w:line="240" w:lineRule="auto"/>
              <w:ind w:left="206" w:right="19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Нормативный разрыв, не менее, метров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56" w:lineRule="exact"/>
              <w:ind w:left="2905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Поголовье, голов, не более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11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29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свиньи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40" w:after="0" w:line="240" w:lineRule="auto"/>
              <w:ind w:left="118" w:right="89" w:firstLine="23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крупный рогатый скот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before="140" w:after="0" w:line="240" w:lineRule="auto"/>
              <w:ind w:left="202" w:right="157" w:hanging="77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овцы, козы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3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лошади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CE609F">
            <w:pPr>
              <w:pStyle w:val="Standard"/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CE609F" w:rsidRDefault="00B53EA8">
            <w:pPr>
              <w:pStyle w:val="Standard"/>
              <w:widowControl w:val="0"/>
              <w:spacing w:after="0" w:line="240" w:lineRule="auto"/>
              <w:ind w:left="12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птица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6" w:lineRule="exact"/>
              <w:ind w:left="284" w:right="676" w:firstLine="142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маточное поголовье основного стада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11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53EA8"/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55" w:lineRule="exact"/>
              <w:ind w:left="114" w:right="98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кролики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3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3" w:lineRule="exact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3" w:lineRule="exact"/>
              <w:ind w:right="78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3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3" w:lineRule="exact"/>
              <w:ind w:left="1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3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3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right="78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1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378" w:right="36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right="72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408" w:right="3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203" w:right="19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378" w:right="369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right="721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334" w:right="32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408" w:right="3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313" w:right="30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09F" w:rsidRDefault="00B53EA8">
            <w:pPr>
              <w:pStyle w:val="Standard"/>
              <w:widowControl w:val="0"/>
              <w:spacing w:after="0" w:line="270" w:lineRule="exact"/>
              <w:ind w:left="113" w:right="9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40</w:t>
            </w:r>
          </w:p>
        </w:tc>
      </w:tr>
    </w:tbl>
    <w:p w:rsidR="00CE609F" w:rsidRDefault="00B53EA8">
      <w:pPr>
        <w:pStyle w:val="Standard"/>
        <w:spacing w:before="91" w:after="0" w:line="240" w:lineRule="auto"/>
        <w:ind w:left="22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сельскохозяйственных животных либо вынести содержание превышающего предельную норму количества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населенного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регистрацией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владельца</w:t>
      </w:r>
      <w:r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подсобного хозяйства в качестве индивидуального предпринимателя или крестьянского (ферм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ерского) хозяйства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CE609F" w:rsidRDefault="00B53EA8">
      <w:pPr>
        <w:pStyle w:val="Standard"/>
        <w:widowControl w:val="0"/>
        <w:numPr>
          <w:ilvl w:val="1"/>
          <w:numId w:val="14"/>
        </w:numPr>
        <w:tabs>
          <w:tab w:val="left" w:pos="1213"/>
        </w:tabs>
        <w:spacing w:after="0" w:line="240" w:lineRule="auto"/>
        <w:ind w:right="286"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 территории с застройкой индивидуальными и блокированными жилыми</w:t>
      </w:r>
      <w:r>
        <w:rPr>
          <w:rFonts w:ascii="Times New Roman" w:hAnsi="Times New Roman"/>
          <w:sz w:val="24"/>
          <w:lang w:eastAsia="ru-RU"/>
        </w:rPr>
        <w:t xml:space="preserve"> домами стоянки автомобилей следует размещать в пределах отведённого участка. </w:t>
      </w:r>
      <w:r>
        <w:rPr>
          <w:rFonts w:ascii="Times New Roman" w:hAnsi="Times New Roman"/>
          <w:sz w:val="24"/>
          <w:szCs w:val="24"/>
          <w:lang w:eastAsia="ru-RU"/>
        </w:rPr>
        <w:t>Запрещается строительство стоянок для грузового транспорта и транспорта для перевозки людей,</w:t>
      </w:r>
      <w:r>
        <w:rPr>
          <w:rFonts w:ascii="Times New Roman" w:hAnsi="Times New Roman"/>
          <w:sz w:val="24"/>
          <w:szCs w:val="24"/>
          <w:lang w:eastAsia="ru-RU"/>
        </w:rPr>
        <w:t xml:space="preserve"> находящегося в личной собственности, кроме автотранспорта грузоподъемностью менее 1,5 тонн (п.90 Региональные нормативы Курганской области).</w:t>
      </w:r>
    </w:p>
    <w:p w:rsidR="00CE609F" w:rsidRDefault="00B53EA8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738"/>
        <w:gridCol w:w="621"/>
        <w:gridCol w:w="511"/>
        <w:gridCol w:w="111"/>
        <w:gridCol w:w="621"/>
        <w:gridCol w:w="778"/>
        <w:gridCol w:w="621"/>
        <w:gridCol w:w="777"/>
        <w:gridCol w:w="469"/>
        <w:gridCol w:w="1241"/>
        <w:gridCol w:w="777"/>
        <w:gridCol w:w="777"/>
        <w:gridCol w:w="622"/>
        <w:gridCol w:w="777"/>
      </w:tblGrid>
      <w:tr w:rsidR="00CE609F">
        <w:tblPrEx>
          <w:tblCellMar>
            <w:top w:w="0" w:type="dxa"/>
            <w:bottom w:w="0" w:type="dxa"/>
          </w:tblCellMar>
        </w:tblPrEx>
        <w:trPr>
          <w:gridAfter w:val="11"/>
          <w:wAfter w:w="6900" w:type="dxa"/>
          <w:tblHeader/>
        </w:trPr>
        <w:tc>
          <w:tcPr>
            <w:tcW w:w="233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103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градостроительные регламенты не устанавливаются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B53EA8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B53EA8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CE60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B53EA8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B53EA8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Максимальная площадь земельных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участков, (га)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Минимальные отступы от границ зем-х участков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даний, строений, сооружений (м.)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609F" w:rsidRDefault="00B53EA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 (процент)</w:t>
            </w:r>
          </w:p>
        </w:tc>
      </w:tr>
      <w:tr w:rsidR="00CE609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3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CE609F">
            <w:pPr>
              <w:pStyle w:val="Standard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widowControl w:val="0"/>
              <w:spacing w:after="0" w:line="240" w:lineRule="auto"/>
              <w:ind w:left="28" w:right="28"/>
              <w:jc w:val="center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Ж-1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09F" w:rsidRDefault="00B53E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CE609F" w:rsidRDefault="00CE609F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609F" w:rsidRDefault="00B53EA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CE609F" w:rsidRDefault="00B53EA8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подземных, подвальных, цокольных частей объектов</w:t>
      </w:r>
    </w:p>
    <w:p w:rsidR="00CE609F" w:rsidRDefault="00B53EA8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CE609F" w:rsidRDefault="00CE609F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609F" w:rsidRDefault="00B53EA8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спространяется или для которого градостроительный регламент не устанавливается</w:t>
      </w:r>
    </w:p>
    <w:p w:rsidR="00CE609F" w:rsidRDefault="00CE609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CE609F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CE60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3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9"/>
                  </w:tblGrid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Решение Колташевской сельской Думы от  20.05.2014 г. № 179.1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«Об утверждении Правил землепользования и  застро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Решение Колташевской сельской Думы от 15.11.2016 г. № 64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«О внесении изменений в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Правила землепользования и застройки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Решение Колташевской сельской Думы от 16.02.2017 г. № 72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(наименование представительного органа местного самоуправл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ения,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«О внесении изменений в Правила землепользования и застройки Колташевского сельсовета Кетовского района Курганской области»</w:t>
                        </w:r>
                      </w:p>
                    </w:tc>
                  </w:tr>
                  <w:tr w:rsidR="00CE60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E609F" w:rsidRDefault="00B53EA8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</w:tbl>
                <w:p w:rsidR="00CE609F" w:rsidRDefault="00CE609F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Решение Колташевской сельской Думы от 06.10.2017 г. № 86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(наименование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представительного органа местного самоуправления,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землепользования и застройки Колташевского сельсовета Кетовского района Курганской области»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Решение Колташевской сельской Думы 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16.11.2017 г. № 93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землепользования и застройки Колташевского сельсовета Кетовского района Курганской области»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</w:tbl>
          <w:p w:rsidR="00CE609F" w:rsidRDefault="00CE609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609F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CE609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Решен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ие Колташевской сельской Думы от 26.12.2017 г. № 101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 представительного органа местного самоуправления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«О внесении изменений в Правила землепользования и застройки Колташевского сельсовета Кетовского района Курганской области»</w:t>
                  </w:r>
                </w:p>
              </w:tc>
            </w:tr>
            <w:tr w:rsidR="00CE60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E609F" w:rsidRDefault="00B53EA8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реквизиты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акта об утверждении правил)</w:t>
                  </w:r>
                </w:p>
              </w:tc>
            </w:tr>
          </w:tbl>
          <w:p w:rsidR="00CE609F" w:rsidRDefault="00CE60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609F" w:rsidRDefault="00CE609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9F" w:rsidRDefault="00CE609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9F" w:rsidRDefault="00CE609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9F" w:rsidRDefault="00B53EA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CE609F" w:rsidRDefault="00B53EA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архитектуры и градостроительства                                                                           С.С. Влеско</w:t>
      </w:r>
    </w:p>
    <w:p w:rsidR="00CE609F" w:rsidRDefault="00CE609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9F" w:rsidRDefault="00CE609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9F" w:rsidRDefault="00CE609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9F" w:rsidRDefault="00CE609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09F" w:rsidRDefault="00B53EA8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CE609F" w:rsidRDefault="00B53EA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CE609F">
      <w:pgSz w:w="11906" w:h="16838"/>
      <w:pgMar w:top="993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A8" w:rsidRDefault="00B53EA8">
      <w:r>
        <w:separator/>
      </w:r>
    </w:p>
  </w:endnote>
  <w:endnote w:type="continuationSeparator" w:id="0">
    <w:p w:rsidR="00B53EA8" w:rsidRDefault="00B5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A8" w:rsidRDefault="00B53EA8">
      <w:r>
        <w:rPr>
          <w:color w:val="000000"/>
        </w:rPr>
        <w:separator/>
      </w:r>
    </w:p>
  </w:footnote>
  <w:footnote w:type="continuationSeparator" w:id="0">
    <w:p w:rsidR="00B53EA8" w:rsidRDefault="00B5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FE2"/>
    <w:multiLevelType w:val="multilevel"/>
    <w:tmpl w:val="46D601A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08247A45"/>
    <w:multiLevelType w:val="multilevel"/>
    <w:tmpl w:val="D97C2762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FF73C72"/>
    <w:multiLevelType w:val="multilevel"/>
    <w:tmpl w:val="47B2E8D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0843B5A"/>
    <w:multiLevelType w:val="multilevel"/>
    <w:tmpl w:val="75E2C9F0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45F24AF"/>
    <w:multiLevelType w:val="multilevel"/>
    <w:tmpl w:val="2E8C38AA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5953807"/>
    <w:multiLevelType w:val="multilevel"/>
    <w:tmpl w:val="68969E1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1985815"/>
    <w:multiLevelType w:val="multilevel"/>
    <w:tmpl w:val="DEAC255C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379B6A0C"/>
    <w:multiLevelType w:val="multilevel"/>
    <w:tmpl w:val="5E84502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A580840"/>
    <w:multiLevelType w:val="multilevel"/>
    <w:tmpl w:val="60E0C64A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3F3F0D20"/>
    <w:multiLevelType w:val="multilevel"/>
    <w:tmpl w:val="65A87E54"/>
    <w:styleLink w:val="WWNum28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0">
    <w:nsid w:val="44D85AFA"/>
    <w:multiLevelType w:val="multilevel"/>
    <w:tmpl w:val="E2BCFB9E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76523CC"/>
    <w:multiLevelType w:val="multilevel"/>
    <w:tmpl w:val="0336A1AA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BAE2071"/>
    <w:multiLevelType w:val="multilevel"/>
    <w:tmpl w:val="723E29A4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4D197A24"/>
    <w:multiLevelType w:val="multilevel"/>
    <w:tmpl w:val="00865438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4FA778DF"/>
    <w:multiLevelType w:val="multilevel"/>
    <w:tmpl w:val="8722ACFA"/>
    <w:styleLink w:val="WWNum26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15">
    <w:nsid w:val="4FC57F0C"/>
    <w:multiLevelType w:val="multilevel"/>
    <w:tmpl w:val="70DE587A"/>
    <w:styleLink w:val="WWNum25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  <w:sz w:val="20"/>
        <w:szCs w:val="24"/>
      </w:rPr>
    </w:lvl>
    <w:lvl w:ilvl="2">
      <w:numFmt w:val="bullet"/>
      <w:lvlText w:val=""/>
      <w:lvlJc w:val="left"/>
      <w:rPr>
        <w:rFonts w:cs="OpenSymbol"/>
        <w:sz w:val="20"/>
        <w:szCs w:val="24"/>
      </w:rPr>
    </w:lvl>
    <w:lvl w:ilvl="3">
      <w:numFmt w:val="bullet"/>
      <w:lvlText w:val=""/>
      <w:lvlJc w:val="left"/>
      <w:rPr>
        <w:rFonts w:cs="OpenSymbol"/>
        <w:sz w:val="20"/>
        <w:szCs w:val="24"/>
      </w:rPr>
    </w:lvl>
    <w:lvl w:ilvl="4">
      <w:numFmt w:val="bullet"/>
      <w:lvlText w:val=""/>
      <w:lvlJc w:val="left"/>
      <w:rPr>
        <w:rFonts w:cs="OpenSymbol"/>
        <w:sz w:val="20"/>
        <w:szCs w:val="24"/>
      </w:rPr>
    </w:lvl>
    <w:lvl w:ilvl="5">
      <w:numFmt w:val="bullet"/>
      <w:lvlText w:val=""/>
      <w:lvlJc w:val="left"/>
      <w:rPr>
        <w:rFonts w:cs="OpenSymbol"/>
        <w:sz w:val="20"/>
        <w:szCs w:val="24"/>
      </w:rPr>
    </w:lvl>
    <w:lvl w:ilvl="6">
      <w:numFmt w:val="bullet"/>
      <w:lvlText w:val=""/>
      <w:lvlJc w:val="left"/>
      <w:rPr>
        <w:rFonts w:cs="OpenSymbol"/>
        <w:sz w:val="20"/>
        <w:szCs w:val="24"/>
      </w:rPr>
    </w:lvl>
    <w:lvl w:ilvl="7">
      <w:numFmt w:val="bullet"/>
      <w:lvlText w:val=""/>
      <w:lvlJc w:val="left"/>
      <w:rPr>
        <w:rFonts w:cs="OpenSymbol"/>
        <w:sz w:val="20"/>
        <w:szCs w:val="24"/>
      </w:rPr>
    </w:lvl>
    <w:lvl w:ilvl="8">
      <w:numFmt w:val="bullet"/>
      <w:lvlText w:val=""/>
      <w:lvlJc w:val="left"/>
      <w:rPr>
        <w:rFonts w:cs="OpenSymbol"/>
        <w:sz w:val="20"/>
        <w:szCs w:val="24"/>
      </w:rPr>
    </w:lvl>
  </w:abstractNum>
  <w:abstractNum w:abstractNumId="16">
    <w:nsid w:val="59793394"/>
    <w:multiLevelType w:val="multilevel"/>
    <w:tmpl w:val="F8BC02E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990445C"/>
    <w:multiLevelType w:val="multilevel"/>
    <w:tmpl w:val="7BA85B14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5B88354B"/>
    <w:multiLevelType w:val="multilevel"/>
    <w:tmpl w:val="69BE0130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64653D3E"/>
    <w:multiLevelType w:val="multilevel"/>
    <w:tmpl w:val="4D9CC68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65577FC5"/>
    <w:multiLevelType w:val="multilevel"/>
    <w:tmpl w:val="DAE2B1A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67462CA9"/>
    <w:multiLevelType w:val="multilevel"/>
    <w:tmpl w:val="27740B3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98C7957"/>
    <w:multiLevelType w:val="multilevel"/>
    <w:tmpl w:val="C802ADA8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69F63D7F"/>
    <w:multiLevelType w:val="multilevel"/>
    <w:tmpl w:val="E5CA02A0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6A574B4F"/>
    <w:multiLevelType w:val="multilevel"/>
    <w:tmpl w:val="D2D265A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6C8D2FCF"/>
    <w:multiLevelType w:val="multilevel"/>
    <w:tmpl w:val="C15CA066"/>
    <w:styleLink w:val="WWNum29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26">
    <w:nsid w:val="6F0E4177"/>
    <w:multiLevelType w:val="multilevel"/>
    <w:tmpl w:val="7430D150"/>
    <w:styleLink w:val="WWNum30"/>
    <w:lvl w:ilvl="0">
      <w:numFmt w:val="bullet"/>
      <w:lvlText w:val="–"/>
      <w:lvlJc w:val="left"/>
      <w:rPr>
        <w:rFonts w:cs="OpenSymbol"/>
        <w:sz w:val="24"/>
        <w:szCs w:val="29"/>
      </w:rPr>
    </w:lvl>
    <w:lvl w:ilvl="1">
      <w:numFmt w:val="bullet"/>
      <w:lvlText w:val="–"/>
      <w:lvlJc w:val="left"/>
      <w:rPr>
        <w:rFonts w:cs="OpenSymbol"/>
        <w:sz w:val="24"/>
        <w:szCs w:val="29"/>
      </w:rPr>
    </w:lvl>
    <w:lvl w:ilvl="2">
      <w:numFmt w:val="bullet"/>
      <w:lvlText w:val="–"/>
      <w:lvlJc w:val="left"/>
      <w:rPr>
        <w:rFonts w:cs="OpenSymbol"/>
        <w:sz w:val="24"/>
        <w:szCs w:val="29"/>
      </w:rPr>
    </w:lvl>
    <w:lvl w:ilvl="3">
      <w:numFmt w:val="bullet"/>
      <w:lvlText w:val="–"/>
      <w:lvlJc w:val="left"/>
      <w:rPr>
        <w:rFonts w:cs="OpenSymbol"/>
        <w:sz w:val="24"/>
        <w:szCs w:val="29"/>
      </w:rPr>
    </w:lvl>
    <w:lvl w:ilvl="4">
      <w:numFmt w:val="bullet"/>
      <w:lvlText w:val="–"/>
      <w:lvlJc w:val="left"/>
      <w:rPr>
        <w:rFonts w:cs="OpenSymbol"/>
        <w:sz w:val="24"/>
        <w:szCs w:val="29"/>
      </w:rPr>
    </w:lvl>
    <w:lvl w:ilvl="5">
      <w:numFmt w:val="bullet"/>
      <w:lvlText w:val="–"/>
      <w:lvlJc w:val="left"/>
      <w:rPr>
        <w:rFonts w:cs="OpenSymbol"/>
        <w:sz w:val="24"/>
        <w:szCs w:val="29"/>
      </w:rPr>
    </w:lvl>
    <w:lvl w:ilvl="6">
      <w:numFmt w:val="bullet"/>
      <w:lvlText w:val="–"/>
      <w:lvlJc w:val="left"/>
      <w:rPr>
        <w:rFonts w:cs="OpenSymbol"/>
        <w:sz w:val="24"/>
        <w:szCs w:val="29"/>
      </w:rPr>
    </w:lvl>
    <w:lvl w:ilvl="7">
      <w:numFmt w:val="bullet"/>
      <w:lvlText w:val="–"/>
      <w:lvlJc w:val="left"/>
      <w:rPr>
        <w:rFonts w:cs="OpenSymbol"/>
        <w:sz w:val="24"/>
        <w:szCs w:val="29"/>
      </w:rPr>
    </w:lvl>
    <w:lvl w:ilvl="8">
      <w:numFmt w:val="bullet"/>
      <w:lvlText w:val="–"/>
      <w:lvlJc w:val="left"/>
      <w:rPr>
        <w:rFonts w:cs="OpenSymbol"/>
        <w:sz w:val="24"/>
        <w:szCs w:val="29"/>
      </w:rPr>
    </w:lvl>
  </w:abstractNum>
  <w:abstractNum w:abstractNumId="27">
    <w:nsid w:val="73D91032"/>
    <w:multiLevelType w:val="multilevel"/>
    <w:tmpl w:val="E1064EE2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768C313E"/>
    <w:multiLevelType w:val="multilevel"/>
    <w:tmpl w:val="84D8BF9A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774B4CDE"/>
    <w:multiLevelType w:val="multilevel"/>
    <w:tmpl w:val="54ACCAAA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22"/>
  </w:num>
  <w:num w:numId="5">
    <w:abstractNumId w:val="17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20"/>
  </w:num>
  <w:num w:numId="13">
    <w:abstractNumId w:val="13"/>
  </w:num>
  <w:num w:numId="14">
    <w:abstractNumId w:val="6"/>
  </w:num>
  <w:num w:numId="15">
    <w:abstractNumId w:val="18"/>
  </w:num>
  <w:num w:numId="16">
    <w:abstractNumId w:val="29"/>
  </w:num>
  <w:num w:numId="17">
    <w:abstractNumId w:val="8"/>
  </w:num>
  <w:num w:numId="18">
    <w:abstractNumId w:val="12"/>
  </w:num>
  <w:num w:numId="19">
    <w:abstractNumId w:val="27"/>
  </w:num>
  <w:num w:numId="20">
    <w:abstractNumId w:val="21"/>
  </w:num>
  <w:num w:numId="21">
    <w:abstractNumId w:val="23"/>
  </w:num>
  <w:num w:numId="22">
    <w:abstractNumId w:val="28"/>
  </w:num>
  <w:num w:numId="23">
    <w:abstractNumId w:val="3"/>
  </w:num>
  <w:num w:numId="24">
    <w:abstractNumId w:val="16"/>
  </w:num>
  <w:num w:numId="25">
    <w:abstractNumId w:val="15"/>
  </w:num>
  <w:num w:numId="26">
    <w:abstractNumId w:val="14"/>
  </w:num>
  <w:num w:numId="27">
    <w:abstractNumId w:val="11"/>
  </w:num>
  <w:num w:numId="28">
    <w:abstractNumId w:val="9"/>
  </w:num>
  <w:num w:numId="29">
    <w:abstractNumId w:val="25"/>
  </w:num>
  <w:num w:numId="30">
    <w:abstractNumId w:val="26"/>
  </w:num>
  <w:num w:numId="31">
    <w:abstractNumId w:val="7"/>
    <w:lvlOverride w:ilvl="0">
      <w:startOverride w:val="1"/>
    </w:lvlOverride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609F"/>
    <w:rsid w:val="002371C4"/>
    <w:rsid w:val="00B53EA8"/>
    <w:rsid w:val="00C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ListLabel15">
    <w:name w:val="ListLabel 15"/>
    <w:rPr>
      <w:rFonts w:cs="OpenSymbol"/>
      <w:sz w:val="20"/>
      <w:szCs w:val="24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  <w:sz w:val="24"/>
      <w:szCs w:val="29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2018-11-20T03:28:00Z</cp:lastPrinted>
  <dcterms:created xsi:type="dcterms:W3CDTF">2018-11-23T09:35:00Z</dcterms:created>
  <dcterms:modified xsi:type="dcterms:W3CDTF">2019-01-25T04:48:00Z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