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3" w:rsidRDefault="00061F47">
      <w:pPr>
        <w:pStyle w:val="Standard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609880" cy="439056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880" cy="43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Российская Федерация</w:t>
      </w:r>
    </w:p>
    <w:p w:rsidR="008943D3" w:rsidRDefault="00061F47">
      <w:pPr>
        <w:pStyle w:val="Standard"/>
        <w:spacing w:line="240" w:lineRule="auto"/>
        <w:jc w:val="center"/>
      </w:pPr>
      <w:r>
        <w:rPr>
          <w:rFonts w:ascii="Times New Roman" w:hAnsi="Times New Roman"/>
          <w:b/>
        </w:rPr>
        <w:t>Курганская область</w:t>
      </w:r>
    </w:p>
    <w:p w:rsidR="008943D3" w:rsidRDefault="00061F47">
      <w:pPr>
        <w:pStyle w:val="Standard"/>
        <w:spacing w:line="240" w:lineRule="auto"/>
        <w:jc w:val="center"/>
      </w:pPr>
      <w:r>
        <w:rPr>
          <w:rFonts w:ascii="Times New Roman" w:hAnsi="Times New Roman"/>
          <w:b/>
        </w:rPr>
        <w:t>Администрация Кетовского района</w:t>
      </w:r>
    </w:p>
    <w:p w:rsidR="008943D3" w:rsidRDefault="00061F47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ОТДЕЛ АРХИТЕКТУРЫ И ГРАДОСТРОИТЕЛЬСТВА</w:t>
      </w:r>
    </w:p>
    <w:p w:rsidR="008943D3" w:rsidRDefault="008943D3">
      <w:pPr>
        <w:pStyle w:val="Standard"/>
        <w:pBdr>
          <w:bottom w:val="single" w:sz="12" w:space="1" w:color="00000A"/>
        </w:pBdr>
        <w:spacing w:line="240" w:lineRule="auto"/>
        <w:rPr>
          <w:rFonts w:ascii="Times New Roman" w:hAnsi="Times New Roman"/>
          <w:sz w:val="18"/>
          <w:szCs w:val="18"/>
        </w:rPr>
      </w:pPr>
    </w:p>
    <w:p w:rsidR="008943D3" w:rsidRDefault="00061F47">
      <w:pPr>
        <w:pStyle w:val="Standard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942839</wp:posOffset>
                </wp:positionH>
                <wp:positionV relativeFrom="page">
                  <wp:posOffset>2229480</wp:posOffset>
                </wp:positionV>
                <wp:extent cx="3241800" cy="183204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800" cy="1832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КЕТОВСКОГО РАЙОНА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641310, с. Кетово, ул. Космонавтов,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eastAsia="ru-RU"/>
                              </w:rPr>
                              <w:t>39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eastAsia="ru-RU"/>
                              </w:rPr>
                              <w:t>тел./факс 8 (35 231) 2-35-41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http://ketovo45.ru/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e-mail: admketr@mail.ru</w:t>
                            </w: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val="en-US" w:eastAsia="ru-RU"/>
                              </w:rPr>
                              <w:t>________ № ______________</w:t>
                            </w:r>
                          </w:p>
                          <w:p w:rsidR="008943D3" w:rsidRDefault="008943D3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val="en-US" w:eastAsia="ru-RU"/>
                              </w:rPr>
                            </w:pPr>
                          </w:p>
                          <w:p w:rsidR="008943D3" w:rsidRDefault="00061F47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u w:val="single"/>
                                <w:lang w:eastAsia="ru-RU"/>
                              </w:rPr>
                              <w:t xml:space="preserve">на  №  583@   от 03.09.2019г.           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74.25pt;margin-top:175.55pt;width:255.25pt;height:144.2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" filled="f" stroked="f">
                <v:textbox inset="0,0,0,0">
                  <w:txbxContent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0"/>
                          <w:lang w:eastAsia="ru-RU"/>
                        </w:rPr>
                        <w:t>КЕТОВСКОГО РАЙОНА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eastAsia="ru-RU"/>
                        </w:rPr>
                        <w:t xml:space="preserve">641310, с. Кетово, ул. Космонавтов,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eastAsia="ru-RU"/>
                        </w:rPr>
                        <w:t>39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eastAsia="ru-RU"/>
                        </w:rPr>
                        <w:t>тел./факс 8 (35 231) 2-35-41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http://ketovo45.ru/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e-mail: admketr@mail.ru</w:t>
                      </w: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val="en-US" w:eastAsia="ru-RU"/>
                        </w:rPr>
                        <w:t>________ № ______________</w:t>
                      </w:r>
                    </w:p>
                    <w:p w:rsidR="008943D3" w:rsidRDefault="008943D3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val="en-US" w:eastAsia="ru-RU"/>
                        </w:rPr>
                      </w:pPr>
                    </w:p>
                    <w:p w:rsidR="008943D3" w:rsidRDefault="00061F47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u w:val="single"/>
                          <w:lang w:eastAsia="ru-RU"/>
                        </w:rPr>
                        <w:t xml:space="preserve">на  №  583@   от 03.09.2019г.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43D3" w:rsidRDefault="008943D3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3D3" w:rsidRDefault="00061F47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сведений</w:t>
      </w:r>
    </w:p>
    <w:p w:rsidR="008943D3" w:rsidRDefault="00061F47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информационной системы  обеспечения</w:t>
      </w:r>
    </w:p>
    <w:p w:rsidR="008943D3" w:rsidRDefault="00061F47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градостроительной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(ИСОГД)</w:t>
      </w:r>
    </w:p>
    <w:p w:rsidR="008943D3" w:rsidRDefault="008943D3">
      <w:pPr>
        <w:pStyle w:val="a5"/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8943D3" w:rsidRDefault="008943D3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8943D3" w:rsidRDefault="00061F47">
      <w:pPr>
        <w:pStyle w:val="Standard"/>
        <w:ind w:firstLine="720"/>
        <w:jc w:val="both"/>
      </w:pPr>
      <w:r>
        <w:rPr>
          <w:rFonts w:ascii="Times New Roman" w:hAnsi="Times New Roman"/>
          <w:sz w:val="24"/>
          <w:szCs w:val="24"/>
        </w:rPr>
        <w:t>Сведения из информационной системы обеспечения градостроительной деятельности (ИСОГД) для земельного участка с кадастровым номером 45:08:031701:1143 расположенного по адресу: Курганская область, Кетовский район, с. Каширино, ул. Ленина, уч. 46 со</w:t>
      </w:r>
      <w:r>
        <w:rPr>
          <w:rFonts w:ascii="Times New Roman" w:hAnsi="Times New Roman"/>
          <w:sz w:val="24"/>
          <w:szCs w:val="24"/>
        </w:rPr>
        <w:t>общаем:</w:t>
      </w:r>
    </w:p>
    <w:p w:rsidR="008943D3" w:rsidRDefault="00061F47">
      <w:pPr>
        <w:pStyle w:val="Standard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lastRenderedPageBreak/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роительный регламент не устанавливается.</w:t>
      </w:r>
    </w:p>
    <w:p w:rsidR="008943D3" w:rsidRDefault="008943D3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8943D3" w:rsidRDefault="00061F47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находится в территориальной зоне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ьной и мало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жной много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варт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(Ж-1),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Каширинского сельсовета Кетовского района Курганской области:</w:t>
      </w:r>
    </w:p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943D3" w:rsidRDefault="00061F47">
      <w:pPr>
        <w:pStyle w:val="Standard"/>
        <w:widowControl w:val="0"/>
        <w:spacing w:line="240" w:lineRule="auto"/>
        <w:ind w:left="681" w:right="-20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татья70.Ограниченияпоэколо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ическимисанитарно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эпи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емиоло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ическим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</w:p>
    <w:p w:rsidR="008943D3" w:rsidRDefault="00061F47">
      <w:pPr>
        <w:pStyle w:val="Standard"/>
        <w:widowControl w:val="0"/>
        <w:tabs>
          <w:tab w:val="left" w:pos="2282"/>
          <w:tab w:val="left" w:pos="4050"/>
          <w:tab w:val="left" w:pos="5402"/>
          <w:tab w:val="left" w:pos="6564"/>
          <w:tab w:val="left" w:pos="6946"/>
          <w:tab w:val="left" w:pos="7736"/>
          <w:tab w:val="left" w:pos="8917"/>
        </w:tabs>
        <w:spacing w:before="63" w:after="0" w:line="240" w:lineRule="auto"/>
        <w:ind w:right="-16" w:firstLine="68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земельных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объек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недвижимос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расположен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в сан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зонах,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одоохран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зонах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лены в соотве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вии с норма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ивными инорма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акт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област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3D3" w:rsidRDefault="00061F47">
      <w:pPr>
        <w:pStyle w:val="Standard"/>
        <w:widowControl w:val="0"/>
        <w:spacing w:after="0" w:line="240" w:lineRule="auto"/>
        <w:ind w:right="-54" w:firstLine="68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огра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по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кологиче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сани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демиолог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ражено в ста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ье 74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Пра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943D3" w:rsidRDefault="00061F4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72. Градостроительные регламенты жилой зоны</w:t>
      </w:r>
    </w:p>
    <w:p w:rsidR="008943D3" w:rsidRDefault="00061F4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Ж-1. Зона индивидуальной и малоэтажной многоквартирной застройки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Жилые зоны предназначены для застройки многоквартирными жилыми домами до 3-х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этажей, индивидуальными жилыми домами с приусадебными земельными участками, а также для жилой застройки иных видов.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жилых зонах размещаются объекты социального и культурно-бытового обслуживания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населения, допускается строительство иных объектов, для кото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Зона застройки индивидуальными и малоэтажными жилыми домами выделена для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правовых условий формирования кварталов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поселений комфортного жилья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Основные виды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разрешенного использов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земельных участков и объектов капитального строительства: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отдельно стоящие жилые дома с приусадебными участками, предназначенные для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проживания одной или двух семей;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жилые дома блокированной застройки (жилые дома, состоящие из нескольких блоков,</w:t>
      </w:r>
    </w:p>
    <w:p w:rsidR="008943D3" w:rsidRDefault="00061F4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из которых предназначен для проживания одной семьи и имеет отдельный выход на территорию общего пользования);- з</w:t>
      </w:r>
      <w:r>
        <w:rPr>
          <w:rFonts w:ascii="Times New Roman" w:hAnsi="Times New Roman"/>
          <w:sz w:val="24"/>
          <w:szCs w:val="24"/>
          <w:lang w:eastAsia="ru-RU"/>
        </w:rPr>
        <w:t>емельные участки (территории) общего пользования.</w:t>
      </w:r>
    </w:p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943D3" w:rsidRDefault="00061F4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w w:val="1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609520" cy="43909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520" cy="4390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43D3" w:rsidRDefault="00061F47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8943D3" w:rsidRDefault="008943D3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Вспомогательные виды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разрешенного использования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земельных участков и объектов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строительства: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хозяйственные постройки на приусадебном участке;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бани, сауны на приусадебном участке;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сады, огороды, палисадники на приусадебном участке;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парники, теплицы, оранжереи на приусадебном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резервуары для хранения воды на приусадебном участке;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артезианские скважины, индивидуальные колодцы, надворные туалеты на приусадебном участке;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отдельно стоящий или встроенный в жилой дом гараж или открытая стоянка на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приусадебном участке.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Условно разрешенные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виды использования земельных участков и объектов капитального строительства: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внешкольные учреждения;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спортивные здания и крытые сооружения, открытые спортивные сооружения;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раздаточные пункты молочных кухонь;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бани, банно-оз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доровительные комплексы;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прачечные и химчистки самообслуживания;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предприятия розничной торговли (площадью не более 100 кв.м.);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предприятия общественного питания;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предприятия бытового обслуживания непроизводственного характера;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предприятия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кредитования, страхования (отделения банков и страховых организаций);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отделения связи, почтамты, телеграфы, АТС;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библиотеки;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культовые объекты (часовни, церкви, соборы, монастыри);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13) мемориальные комплексы, памятники истории и культуры;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одоемы природные и искусственные;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 парки культуры и отдыха;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16) бульвары и скверы;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 мотели, кемпинги;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18) предприятия, связанные с индивидуальной трудовой деятельностью, в соответствии с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санитарными и противопожарными нормами;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19) объекты пожарной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охраны;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20) колодцы общественного пользования (временно, до подключения к сети центрального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водоснабжения);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21) пункты первой медицинской помощи;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22) магистральные сети и объекты инженерной инфраструктуры, связанные с обслуживанием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данной зоны;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жилищно-эксплуатационные предприятия;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24) временные сооружения для обслуживания населения;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25) зеленые насаждения общего пользования;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26) остановочные павильоны, посадочные площадки общественного транспорта;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27) пешеходные переходы;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28) пешеходные тротуа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ры, площади;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29) малые архитектурные формы, рекламные установки;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30) отделения милиции, посты милиции, ГИБДД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Разрешенные параметры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земельных участков и объектов капитального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строительства: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плотность застройки определяется СНиП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2.07.01-89* «Градостроительство. Планировка и застройка городских и сельских поселений»;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этажность - до 3 этажей включительно;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предельные размеры земельных участков определяются настоящими Правилами.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Регламенты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и требовани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к ней определяются</w:t>
      </w:r>
    </w:p>
    <w:p w:rsidR="008943D3" w:rsidRDefault="00061F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градостроительной документацией и СНиП 2.07.01-89* «Градостроительство. Планировка и застройка городских и сельских поселений», СП 30-102-99* «Планировка и застройка территорий малоэтажного строительства», СниП 30-02-97 «Планировка 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астройка садоводческих объединений граждан, здания и сооружения», СНиП 2.08.01-89* «Жилые здания» с учетом реально сложившейся градостроительной ситуации и архитектурно-планировочного решения объекта.</w:t>
      </w:r>
    </w:p>
    <w:p w:rsidR="008943D3" w:rsidRDefault="00061F47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8943D3" w:rsidRDefault="00061F4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Предельные параметры строительства в жилой 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стройке</w:t>
      </w:r>
    </w:p>
    <w:p w:rsidR="008943D3" w:rsidRDefault="008943D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0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813"/>
        <w:gridCol w:w="2077"/>
        <w:gridCol w:w="1498"/>
        <w:gridCol w:w="579"/>
        <w:gridCol w:w="1007"/>
        <w:gridCol w:w="2595"/>
        <w:gridCol w:w="367"/>
      </w:tblGrid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2039" w:right="203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31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</w:t>
            </w: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616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Обоснование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9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tabs>
                <w:tab w:val="left" w:pos="4410"/>
              </w:tabs>
              <w:spacing w:after="0" w:line="260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  жилых   домов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усадебного 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площадь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tabs>
                <w:tab w:val="left" w:pos="1380"/>
              </w:tabs>
              <w:spacing w:after="0" w:line="260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Курганской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7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7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участка (включая 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застройки), м</w:t>
            </w:r>
            <w:r>
              <w:rPr>
                <w:rFonts w:ascii="Times New Roman" w:eastAsia="Times New Roman" w:hAnsi="Times New Roman"/>
                <w:position w:val="14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7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1500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7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области от 27 декабря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5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- максимальная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2011 года №569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160"/>
        </w:trPr>
        <w:tc>
          <w:tcPr>
            <w:tcW w:w="204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71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минимальная</w:t>
            </w:r>
          </w:p>
          <w:p w:rsidR="008943D3" w:rsidRDefault="00061F47">
            <w:pPr>
              <w:pStyle w:val="Standard"/>
              <w:widowControl w:val="0"/>
              <w:spacing w:after="0" w:line="270" w:lineRule="atLeast"/>
              <w:ind w:left="109" w:right="9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2. Для блокированных жилых домов (из расчета на одну квартиру) – минимальная площадь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(включая площадь застройки), м</w:t>
            </w:r>
            <w:r>
              <w:rPr>
                <w:rFonts w:ascii="Times New Roman" w:eastAsia="Times New Roman" w:hAnsi="Times New Roman"/>
                <w:position w:val="14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928"/>
        </w:trPr>
        <w:tc>
          <w:tcPr>
            <w:tcW w:w="204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1F47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8943D3" w:rsidRDefault="008943D3">
            <w:pPr>
              <w:pStyle w:val="Standard"/>
              <w:widowControl w:val="0"/>
              <w:spacing w:before="1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8943D3" w:rsidRDefault="00061F47">
            <w:pPr>
              <w:pStyle w:val="Standard"/>
              <w:widowControl w:val="0"/>
              <w:spacing w:after="0" w:line="240" w:lineRule="auto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40" w:lineRule="auto"/>
              <w:ind w:left="108" w:right="9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Закон Курганской области от 27 декабря 2011 года №569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81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61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 Минимальное расстояние между фронтальной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61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по</w:t>
            </w: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5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границей участка и основным строением, м: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сложившейся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 30-102-99*, табл.1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829"/>
              </w:tabs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сохраняемой застройке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линии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829"/>
                <w:tab w:val="left" w:pos="1766"/>
                <w:tab w:val="left" w:pos="3870"/>
                <w:tab w:val="left" w:pos="4560"/>
              </w:tabs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реконструкции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новом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застройки;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546"/>
        </w:trPr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71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строительстве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71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не менее 5 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81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tabs>
                <w:tab w:val="left" w:pos="745"/>
                <w:tab w:val="left" w:pos="2533"/>
                <w:tab w:val="left" w:pos="4020"/>
                <w:tab w:val="left" w:pos="4592"/>
              </w:tabs>
              <w:spacing w:after="0" w:line="261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Минимальное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расстояние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границ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землевладения до строений, а также между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строениями, м: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5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от границ соседнего участка до: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46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основного строения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 менее 3м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 30-102-99*,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табл.1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5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46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построек для содержания скота и птицы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 менее 4м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 30-102-99*, табл.1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46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других построек: бани, гаража, сарая и др.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 30-102-99*, табл.1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6"/>
        </w:trPr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47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окон жилых комнат до стен соседнего дома</w:t>
            </w:r>
          </w:p>
        </w:tc>
        <w:tc>
          <w:tcPr>
            <w:tcW w:w="204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 менее 6м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6" w:lineRule="exact"/>
              <w:ind w:left="10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 30-102-99*, табл.1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3"/>
          <w:wAfter w:w="3897" w:type="dxa"/>
          <w:trHeight w:val="270"/>
        </w:trPr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51" w:lineRule="exact"/>
              <w:ind w:left="109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 хозяйственных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построек (бани, гаража, сарая),</w:t>
            </w:r>
          </w:p>
          <w:p w:rsidR="008943D3" w:rsidRDefault="00061F47">
            <w:pPr>
              <w:pStyle w:val="Standard"/>
              <w:widowControl w:val="0"/>
              <w:spacing w:after="0" w:line="274" w:lineRule="exact"/>
              <w:ind w:left="10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расположенных на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соседних земельных участках</w:t>
            </w:r>
          </w:p>
          <w:p w:rsidR="008943D3" w:rsidRDefault="00061F47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от границ соседнего</w:t>
            </w:r>
            <w:r>
              <w:rPr>
                <w:rFonts w:ascii="Times New Roman" w:eastAsia="Times New Roman" w:hAnsi="Times New Roman"/>
                <w:spacing w:val="4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участка:</w:t>
            </w:r>
          </w:p>
          <w:p w:rsidR="008943D3" w:rsidRDefault="00061F47">
            <w:pPr>
              <w:pStyle w:val="Standard"/>
              <w:widowControl w:val="0"/>
              <w:numPr>
                <w:ilvl w:val="1"/>
                <w:numId w:val="20"/>
              </w:numPr>
              <w:tabs>
                <w:tab w:val="left" w:pos="599"/>
              </w:tabs>
              <w:spacing w:after="0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стволов высокорослых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деревьев</w:t>
            </w:r>
          </w:p>
          <w:p w:rsidR="008943D3" w:rsidRDefault="00061F47">
            <w:pPr>
              <w:pStyle w:val="Standard"/>
              <w:widowControl w:val="0"/>
              <w:numPr>
                <w:ilvl w:val="1"/>
                <w:numId w:val="20"/>
              </w:numPr>
              <w:tabs>
                <w:tab w:val="left" w:pos="599"/>
              </w:tabs>
              <w:spacing w:after="0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среднерослых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деревьев</w:t>
            </w:r>
          </w:p>
          <w:p w:rsidR="008943D3" w:rsidRDefault="00061F47">
            <w:pPr>
              <w:pStyle w:val="Standard"/>
              <w:widowControl w:val="0"/>
              <w:numPr>
                <w:ilvl w:val="1"/>
                <w:numId w:val="20"/>
              </w:numPr>
              <w:tabs>
                <w:tab w:val="left" w:pos="1317"/>
              </w:tabs>
              <w:spacing w:after="0" w:line="256" w:lineRule="exact"/>
              <w:ind w:left="658" w:hanging="199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кустарников</w:t>
            </w: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 w:bidi="ru-RU"/>
              </w:rPr>
            </w:pPr>
          </w:p>
          <w:p w:rsidR="008943D3" w:rsidRDefault="008943D3">
            <w:pPr>
              <w:pStyle w:val="Standard"/>
              <w:widowControl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eastAsia="ru-RU" w:bidi="ru-RU"/>
              </w:rPr>
            </w:pPr>
          </w:p>
          <w:p w:rsidR="008943D3" w:rsidRDefault="00061F47">
            <w:pPr>
              <w:pStyle w:val="Standard"/>
              <w:widowControl w:val="0"/>
              <w:spacing w:before="1" w:after="0" w:line="270" w:lineRule="atLeast"/>
              <w:ind w:left="104" w:right="427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не менее 4м не менее 2м не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менее 1м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 w:bidi="ru-RU"/>
              </w:rPr>
            </w:pPr>
          </w:p>
          <w:p w:rsidR="008943D3" w:rsidRDefault="008943D3">
            <w:pPr>
              <w:pStyle w:val="Standard"/>
              <w:widowControl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eastAsia="ru-RU" w:bidi="ru-RU"/>
              </w:rPr>
            </w:pPr>
          </w:p>
          <w:p w:rsidR="008943D3" w:rsidRDefault="00061F47">
            <w:pPr>
              <w:pStyle w:val="Standard"/>
              <w:widowControl w:val="0"/>
              <w:spacing w:before="1" w:after="0" w:line="240" w:lineRule="auto"/>
              <w:ind w:left="104" w:right="596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СНиП 2.07.01-89*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СП 30-102-99*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378"/>
        </w:trPr>
        <w:tc>
          <w:tcPr>
            <w:tcW w:w="260" w:type="dxa"/>
            <w:vMerge w:val="restart"/>
            <w:tcBorders>
              <w:top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9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3D3" w:rsidRDefault="008943D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3D3" w:rsidRDefault="008943D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3D3" w:rsidRDefault="008943D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E0D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60" w:type="dxa"/>
            <w:vMerge/>
            <w:tcBorders>
              <w:top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1F47"/>
        </w:tc>
        <w:tc>
          <w:tcPr>
            <w:tcW w:w="52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tabs>
                <w:tab w:val="left" w:pos="736"/>
                <w:tab w:val="left" w:pos="2524"/>
                <w:tab w:val="left" w:pos="4011"/>
                <w:tab w:val="left" w:pos="4583"/>
              </w:tabs>
              <w:spacing w:after="0" w:line="270" w:lineRule="atLeast"/>
              <w:ind w:left="104" w:right="10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Минимальное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расстояние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от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границ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приусадебных участков до лесных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массивов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Не менее 30 м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0" w:type="dxa"/>
            <w:tcBorders>
              <w:top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1F47"/>
        </w:tc>
      </w:tr>
      <w:tr w:rsidR="008943D3">
        <w:tblPrEx>
          <w:tblCellMar>
            <w:top w:w="0" w:type="dxa"/>
            <w:bottom w:w="0" w:type="dxa"/>
          </w:tblCellMar>
        </w:tblPrEx>
        <w:trPr>
          <w:gridAfter w:val="2"/>
          <w:wAfter w:w="2908" w:type="dxa"/>
          <w:trHeight w:val="1104"/>
        </w:trPr>
        <w:tc>
          <w:tcPr>
            <w:tcW w:w="4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6. Размещение животноводческого хозяйства на приусадебном (приквартирном) участке</w:t>
            </w: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061F47">
            <w:pPr>
              <w:pStyle w:val="Standard"/>
              <w:widowControl w:val="0"/>
              <w:tabs>
                <w:tab w:val="left" w:pos="720"/>
                <w:tab w:val="left" w:pos="1174"/>
                <w:tab w:val="left" w:pos="1526"/>
              </w:tabs>
              <w:spacing w:after="0" w:line="270" w:lineRule="atLeast"/>
              <w:ind w:left="104" w:right="96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более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15 голов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(КРС, свиней, лошадей,</w:t>
            </w:r>
            <w:r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овец)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3D3" w:rsidRDefault="008943D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</w:tbl>
    <w:p w:rsidR="008943D3" w:rsidRDefault="00061F47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57</w:t>
      </w:r>
    </w:p>
    <w:tbl>
      <w:tblPr>
        <w:tblW w:w="9690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737"/>
        <w:gridCol w:w="619"/>
        <w:gridCol w:w="515"/>
        <w:gridCol w:w="105"/>
        <w:gridCol w:w="622"/>
        <w:gridCol w:w="778"/>
        <w:gridCol w:w="621"/>
        <w:gridCol w:w="777"/>
        <w:gridCol w:w="470"/>
        <w:gridCol w:w="1239"/>
        <w:gridCol w:w="776"/>
        <w:gridCol w:w="778"/>
        <w:gridCol w:w="622"/>
        <w:gridCol w:w="777"/>
      </w:tblGrid>
      <w:tr w:rsidR="008943D3">
        <w:tblPrEx>
          <w:tblCellMar>
            <w:top w:w="0" w:type="dxa"/>
            <w:bottom w:w="0" w:type="dxa"/>
          </w:tblCellMar>
        </w:tblPrEx>
        <w:trPr>
          <w:gridAfter w:val="11"/>
          <w:wAfter w:w="6894" w:type="dxa"/>
          <w:tblHeader/>
        </w:trPr>
        <w:tc>
          <w:tcPr>
            <w:tcW w:w="232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2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061F47"/>
        </w:tc>
        <w:tc>
          <w:tcPr>
            <w:tcW w:w="67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061F47"/>
        </w:tc>
        <w:tc>
          <w:tcPr>
            <w:tcW w:w="410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8943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2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061F47"/>
        </w:tc>
        <w:tc>
          <w:tcPr>
            <w:tcW w:w="67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061F47"/>
        </w:tc>
        <w:tc>
          <w:tcPr>
            <w:tcW w:w="564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5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Минимальная длина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Минимальное количество надземных этажей зданий,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строений, сооружений, (ед.)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43D3" w:rsidRDefault="00061F4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8943D3">
            <w:pPr>
              <w:pStyle w:val="Standard"/>
              <w:widowControl w:val="0"/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0,06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20</w:t>
            </w:r>
          </w:p>
        </w:tc>
      </w:tr>
    </w:tbl>
    <w:p w:rsidR="008943D3" w:rsidRDefault="00061F4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8943D3" w:rsidRDefault="00061F47">
      <w:pPr>
        <w:pStyle w:val="Standard"/>
        <w:numPr>
          <w:ilvl w:val="1"/>
          <w:numId w:val="2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8943D3" w:rsidRDefault="00061F47">
      <w:pPr>
        <w:pStyle w:val="Standard"/>
        <w:numPr>
          <w:ilvl w:val="1"/>
          <w:numId w:val="2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8943D3" w:rsidRDefault="00061F47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местного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самоуправления, содержащего градостроительный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8943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Каширинской сельской Думы от 24,12.2012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76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землепользования и застройки Каширинского сельсовета Кетовского района Курганской области»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43D3" w:rsidRDefault="00061F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акта об утверждении правил)</w:t>
            </w:r>
          </w:p>
        </w:tc>
      </w:tr>
      <w:tr w:rsidR="008943D3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8943D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 Каширинской сельской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Думы от 25.11.2016 г. № 30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Каширинского сельсовета Кетовского района Курганской области»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8943D3" w:rsidRDefault="008943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8943D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Каширинской сельской Думы от 01.03.2017 г. № 9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Каширинского сельсовета Кетовского района Курганской области»</w:t>
                  </w:r>
                </w:p>
              </w:tc>
            </w:tr>
            <w:tr w:rsidR="008943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943D3" w:rsidRDefault="00061F4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8943D3" w:rsidRDefault="008943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943D3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43D3" w:rsidRDefault="008943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43D3" w:rsidRDefault="008943D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943D3" w:rsidRDefault="008943D3">
      <w:pPr>
        <w:pStyle w:val="Default"/>
        <w:rPr>
          <w:color w:val="00000A"/>
        </w:rPr>
      </w:pPr>
    </w:p>
    <w:p w:rsidR="008943D3" w:rsidRDefault="008943D3">
      <w:pPr>
        <w:pStyle w:val="Default"/>
        <w:rPr>
          <w:color w:val="00000A"/>
        </w:rPr>
      </w:pPr>
    </w:p>
    <w:p w:rsidR="008943D3" w:rsidRDefault="00061F47">
      <w:pPr>
        <w:pStyle w:val="Standard"/>
        <w:spacing w:after="0" w:line="240" w:lineRule="auto"/>
        <w:ind w:right="-65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Начальник отдела архитектуры</w:t>
      </w:r>
    </w:p>
    <w:p w:rsidR="008943D3" w:rsidRDefault="00061F47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и градостроительства                                                                              Ковешников А.О.</w:t>
      </w:r>
    </w:p>
    <w:p w:rsidR="008943D3" w:rsidRDefault="008943D3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8943D3" w:rsidRDefault="008943D3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8943D3" w:rsidRDefault="008943D3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8943D3" w:rsidRDefault="008943D3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8943D3" w:rsidRDefault="00061F47">
      <w:pPr>
        <w:pStyle w:val="Standard"/>
        <w:tabs>
          <w:tab w:val="left" w:pos="4050"/>
        </w:tabs>
        <w:jc w:val="both"/>
      </w:pPr>
      <w:r>
        <w:rPr>
          <w:rFonts w:ascii="Times New Roman" w:hAnsi="Times New Roman"/>
          <w:sz w:val="24"/>
          <w:szCs w:val="24"/>
        </w:rPr>
        <w:t>Евдокимова Е.Э.</w:t>
      </w:r>
    </w:p>
    <w:p w:rsidR="008943D3" w:rsidRDefault="00061F4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(35231)2-37-17</w:t>
      </w:r>
    </w:p>
    <w:sectPr w:rsidR="008943D3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47" w:rsidRDefault="00061F47">
      <w:r>
        <w:separator/>
      </w:r>
    </w:p>
  </w:endnote>
  <w:endnote w:type="continuationSeparator" w:id="0">
    <w:p w:rsidR="00061F47" w:rsidRDefault="000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47" w:rsidRDefault="00061F47">
      <w:r>
        <w:rPr>
          <w:color w:val="000000"/>
        </w:rPr>
        <w:separator/>
      </w:r>
    </w:p>
  </w:footnote>
  <w:footnote w:type="continuationSeparator" w:id="0">
    <w:p w:rsidR="00061F47" w:rsidRDefault="0006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EB"/>
    <w:multiLevelType w:val="multilevel"/>
    <w:tmpl w:val="F27E811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6620E0"/>
    <w:multiLevelType w:val="multilevel"/>
    <w:tmpl w:val="D4A4404C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53458F1"/>
    <w:multiLevelType w:val="multilevel"/>
    <w:tmpl w:val="B74C86DA"/>
    <w:styleLink w:val="WWNum18"/>
    <w:lvl w:ilvl="0">
      <w:numFmt w:val="bullet"/>
      <w:lvlText w:val=""/>
      <w:lvlJc w:val="left"/>
      <w:rPr>
        <w:rFonts w:ascii="Symbol" w:eastAsia="Times New Roman" w:hAnsi="Symbol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FB0D6C"/>
    <w:multiLevelType w:val="multilevel"/>
    <w:tmpl w:val="0FB01D6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2EB6D9B"/>
    <w:multiLevelType w:val="multilevel"/>
    <w:tmpl w:val="4F20EF1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F40265"/>
    <w:multiLevelType w:val="multilevel"/>
    <w:tmpl w:val="3BEE68B0"/>
    <w:styleLink w:val="WWNum8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2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3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5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6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8">
      <w:numFmt w:val="bullet"/>
      <w:lvlText w:val=""/>
      <w:lvlJc w:val="left"/>
      <w:rPr>
        <w:rFonts w:ascii="Symbol" w:hAnsi="Symbol" w:cs="OpenSymbol"/>
        <w:sz w:val="20"/>
        <w:szCs w:val="24"/>
      </w:rPr>
    </w:lvl>
  </w:abstractNum>
  <w:abstractNum w:abstractNumId="6">
    <w:nsid w:val="166C5AC5"/>
    <w:multiLevelType w:val="multilevel"/>
    <w:tmpl w:val="ED3EE320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3F63CDF"/>
    <w:multiLevelType w:val="multilevel"/>
    <w:tmpl w:val="F250757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D3D0545"/>
    <w:multiLevelType w:val="multilevel"/>
    <w:tmpl w:val="D3282E5A"/>
    <w:styleLink w:val="WWNum15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25879AA"/>
    <w:multiLevelType w:val="multilevel"/>
    <w:tmpl w:val="88DAA204"/>
    <w:styleLink w:val="WWNum1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2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3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5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6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"/>
      <w:lvlJc w:val="left"/>
      <w:rPr>
        <w:rFonts w:ascii="Symbol" w:hAnsi="Symbol" w:cs="OpenSymbol"/>
        <w:sz w:val="20"/>
        <w:szCs w:val="24"/>
      </w:rPr>
    </w:lvl>
    <w:lvl w:ilvl="8">
      <w:numFmt w:val="bullet"/>
      <w:lvlText w:val=""/>
      <w:lvlJc w:val="left"/>
      <w:rPr>
        <w:rFonts w:ascii="Symbol" w:hAnsi="Symbol" w:cs="OpenSymbol"/>
        <w:sz w:val="20"/>
        <w:szCs w:val="24"/>
      </w:rPr>
    </w:lvl>
  </w:abstractNum>
  <w:abstractNum w:abstractNumId="10">
    <w:nsid w:val="4B7E7001"/>
    <w:multiLevelType w:val="multilevel"/>
    <w:tmpl w:val="2A3EEBB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40E616D"/>
    <w:multiLevelType w:val="multilevel"/>
    <w:tmpl w:val="96CCAFFC"/>
    <w:styleLink w:val="WWNum13"/>
    <w:lvl w:ilvl="0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2">
    <w:nsid w:val="5DC52146"/>
    <w:multiLevelType w:val="multilevel"/>
    <w:tmpl w:val="54F24F7E"/>
    <w:styleLink w:val="WWNum19"/>
    <w:lvl w:ilvl="0">
      <w:numFmt w:val="bullet"/>
      <w:lvlText w:val=""/>
      <w:lvlJc w:val="left"/>
      <w:rPr>
        <w:rFonts w:ascii="Symbol" w:eastAsia="Times New Roman" w:hAnsi="Symbol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61356B96"/>
    <w:multiLevelType w:val="multilevel"/>
    <w:tmpl w:val="34784BF2"/>
    <w:styleLink w:val="WWNum9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4">
    <w:nsid w:val="61356C78"/>
    <w:multiLevelType w:val="multilevel"/>
    <w:tmpl w:val="1402D71C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1567C77"/>
    <w:multiLevelType w:val="multilevel"/>
    <w:tmpl w:val="56E88D8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EB72A69"/>
    <w:multiLevelType w:val="multilevel"/>
    <w:tmpl w:val="5CBE6D96"/>
    <w:styleLink w:val="WWNum14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17">
    <w:nsid w:val="6FDE6BE5"/>
    <w:multiLevelType w:val="multilevel"/>
    <w:tmpl w:val="00E48326"/>
    <w:styleLink w:val="WWNum12"/>
    <w:lvl w:ilvl="0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ascii="Symbol" w:hAnsi="Symbol"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8">
    <w:nsid w:val="70385C0F"/>
    <w:multiLevelType w:val="multilevel"/>
    <w:tmpl w:val="083400DE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0F2355D"/>
    <w:multiLevelType w:val="multilevel"/>
    <w:tmpl w:val="C958BE7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7DB86121"/>
    <w:multiLevelType w:val="multilevel"/>
    <w:tmpl w:val="FCC01C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14"/>
  </w:num>
  <w:num w:numId="6">
    <w:abstractNumId w:val="20"/>
  </w:num>
  <w:num w:numId="7">
    <w:abstractNumId w:val="15"/>
  </w:num>
  <w:num w:numId="8">
    <w:abstractNumId w:val="5"/>
  </w:num>
  <w:num w:numId="9">
    <w:abstractNumId w:val="13"/>
  </w:num>
  <w:num w:numId="10">
    <w:abstractNumId w:val="18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2"/>
  </w:num>
  <w:num w:numId="19">
    <w:abstractNumId w:val="12"/>
  </w:num>
  <w:num w:numId="20">
    <w:abstractNumId w:val="1"/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2"/>
    <w:lvlOverride w:ilvl="0"/>
  </w:num>
  <w:num w:numId="24">
    <w:abstractNumId w:val="12"/>
    <w:lvlOverride w:ilvl="0"/>
  </w:num>
  <w:num w:numId="25">
    <w:abstractNumId w:val="1"/>
    <w:lvlOverride w:ilvl="0"/>
  </w:num>
  <w:num w:numId="2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3D3"/>
    <w:rsid w:val="00061F47"/>
    <w:rsid w:val="005E0DA8"/>
    <w:rsid w:val="008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Textbody"/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/>
      <w:w w:val="100"/>
      <w:sz w:val="20"/>
    </w:rPr>
  </w:style>
  <w:style w:type="character" w:customStyle="1" w:styleId="ListLabel8">
    <w:name w:val="ListLabel 8"/>
    <w:rPr>
      <w:rFonts w:eastAsia="Times New Roman" w:cs="Times New Roman"/>
      <w:spacing w:val="-6"/>
      <w:w w:val="100"/>
      <w:sz w:val="24"/>
    </w:rPr>
  </w:style>
  <w:style w:type="character" w:customStyle="1" w:styleId="ListLabel9">
    <w:name w:val="ListLabel 9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Textbody"/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/>
      <w:w w:val="100"/>
      <w:sz w:val="20"/>
    </w:rPr>
  </w:style>
  <w:style w:type="character" w:customStyle="1" w:styleId="ListLabel8">
    <w:name w:val="ListLabel 8"/>
    <w:rPr>
      <w:rFonts w:eastAsia="Times New Roman" w:cs="Times New Roman"/>
      <w:spacing w:val="-6"/>
      <w:w w:val="100"/>
      <w:sz w:val="24"/>
    </w:rPr>
  </w:style>
  <w:style w:type="character" w:customStyle="1" w:styleId="ListLabel9">
    <w:name w:val="ListLabel 9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2019-09-04T05:55:00Z</cp:lastPrinted>
  <dcterms:created xsi:type="dcterms:W3CDTF">2019-09-04T05:53:00Z</dcterms:created>
  <dcterms:modified xsi:type="dcterms:W3CDTF">2019-10-24T09:05:00Z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