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E" w:rsidRDefault="00727570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24160" cy="4285800"/>
            <wp:effectExtent l="0" t="0" r="390" b="450"/>
            <wp:wrapSquare wrapText="bothSides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160" cy="42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№3</w:t>
      </w:r>
    </w:p>
    <w:p w:rsidR="0006035E" w:rsidRDefault="0006035E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727570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запрос о предоставлении сведений из Правил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землепользования и застройки Новосидоровского сельсовета Кетовского района Курганской области для земельного участка площадью 132 кв.м., с кадастровым номером 45:08:021101:1094 расположенном по адресу: Курганская область, Кетовский район, с. Кропани, ул. 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оветская, уч. 46 Б сообщаем:</w:t>
      </w:r>
    </w:p>
    <w:p w:rsidR="0006035E" w:rsidRDefault="0006035E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035E" w:rsidRDefault="00727570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и для которого градостроительный регламент не устанавливается.</w:t>
      </w:r>
    </w:p>
    <w:p w:rsidR="0006035E" w:rsidRDefault="0006035E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06035E" w:rsidRDefault="00727570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06035E" w:rsidRDefault="00727570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Ж1</w:t>
      </w:r>
    </w:p>
    <w:p w:rsidR="0006035E" w:rsidRDefault="0006035E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72757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Новосидоровского сельсовета Кетовского района Курганской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области:</w:t>
      </w: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6035E" w:rsidRDefault="00727570">
      <w:pPr>
        <w:pStyle w:val="Standard"/>
        <w:keepNext/>
        <w:spacing w:before="160" w:after="160" w:line="240" w:lineRule="auto"/>
        <w:ind w:firstLine="709"/>
        <w:jc w:val="both"/>
        <w:outlineLvl w:val="2"/>
      </w:pPr>
      <w:r>
        <w:rPr>
          <w:rFonts w:ascii="Times New Roman" w:eastAsia="Times New Roman" w:hAnsi="Times New Roman"/>
          <w:b/>
          <w:bCs/>
          <w:sz w:val="24"/>
          <w:szCs w:val="26"/>
        </w:rPr>
        <w:t>71. Градостроительные регламенты. Жилые зоны</w:t>
      </w:r>
    </w:p>
    <w:p w:rsidR="0006035E" w:rsidRDefault="0072757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Территориальная зона жилой застройки выделена для обеспечения правовых условий формирования жилой застройки. Жилые зоны (коды зон Ж-1, Ж-2, Ж-3) предназначены для застройки жилыми домами с минимально </w:t>
      </w:r>
      <w:r>
        <w:rPr>
          <w:rFonts w:ascii="Times New Roman" w:eastAsia="Times New Roman" w:hAnsi="Times New Roman"/>
          <w:sz w:val="24"/>
          <w:szCs w:val="24"/>
          <w:lang w:bidi="en-US"/>
        </w:rPr>
        <w:t>разрешенным набором услуг местного значения.</w:t>
      </w:r>
      <w:bookmarkStart w:id="1" w:name="_Toc451760281"/>
      <w:bookmarkStart w:id="2" w:name="_Toc451777014"/>
    </w:p>
    <w:p w:rsidR="0006035E" w:rsidRDefault="00727570">
      <w:pPr>
        <w:pStyle w:val="Standard"/>
        <w:keepNext/>
        <w:spacing w:before="160" w:after="160" w:line="240" w:lineRule="auto"/>
        <w:ind w:firstLine="709"/>
        <w:jc w:val="center"/>
        <w:outlineLvl w:val="3"/>
      </w:pPr>
      <w:bookmarkStart w:id="3" w:name="_Toc459116527"/>
      <w:r>
        <w:rPr>
          <w:rFonts w:ascii="Times New Roman" w:eastAsia="Lucida Sans Unicode" w:hAnsi="Times New Roman"/>
          <w:b/>
          <w:bCs/>
          <w:color w:val="000000"/>
          <w:sz w:val="24"/>
          <w:szCs w:val="26"/>
          <w:u w:val="single"/>
          <w:lang w:eastAsia="ru-RU"/>
        </w:rPr>
        <w:t xml:space="preserve"> Виды разрешённого использования зоны Ж-1 индивидуальной</w:t>
      </w:r>
      <w:bookmarkEnd w:id="1"/>
      <w:r>
        <w:rPr>
          <w:rFonts w:ascii="Times New Roman" w:eastAsia="Lucida Sans Unicode" w:hAnsi="Times New Roman"/>
          <w:b/>
          <w:bCs/>
          <w:color w:val="000000"/>
          <w:sz w:val="24"/>
          <w:szCs w:val="26"/>
          <w:u w:val="single"/>
          <w:lang w:eastAsia="ru-RU"/>
        </w:rPr>
        <w:t xml:space="preserve"> жилой застройки</w:t>
      </w:r>
      <w:bookmarkEnd w:id="2"/>
      <w:bookmarkEnd w:id="3"/>
      <w:r>
        <w:rPr>
          <w:rFonts w:ascii="Times New Roman" w:eastAsia="Lucida Sans Unicode" w:hAnsi="Times New Roman"/>
          <w:b/>
          <w:bCs/>
          <w:color w:val="000000"/>
          <w:sz w:val="24"/>
          <w:szCs w:val="26"/>
          <w:u w:val="single"/>
          <w:lang w:eastAsia="ru-RU"/>
        </w:rPr>
        <w:t>и  личного подсобного хозяйства</w:t>
      </w:r>
    </w:p>
    <w:p w:rsidR="0006035E" w:rsidRDefault="00727570">
      <w:pPr>
        <w:pStyle w:val="Standard"/>
        <w:widowControl w:val="0"/>
        <w:numPr>
          <w:ilvl w:val="3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Основные виды разрешенного использования</w:t>
      </w:r>
    </w:p>
    <w:p w:rsidR="0006035E" w:rsidRDefault="0006035E">
      <w:pPr>
        <w:pStyle w:val="Standard"/>
        <w:widowControl w:val="0"/>
        <w:spacing w:after="0" w:line="100" w:lineRule="atLeast"/>
        <w:rPr>
          <w:rFonts w:ascii="Times New Roman" w:eastAsia="Times New Roman" w:hAnsi="Times New Roman"/>
          <w:bCs/>
          <w:sz w:val="24"/>
          <w:szCs w:val="24"/>
          <w:lang w:val="en-GB" w:eastAsia="ru-RU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3686"/>
        <w:gridCol w:w="3403"/>
      </w:tblGrid>
      <w:tr w:rsidR="000603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разрешенного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использования земельных участков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видов разрешенного использования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Параметры разрешенного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строительства и использования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2.1)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Индивидуальный жилой дом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пригодный для постоянного проживания, высотой не выше трех надземных этажей.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Максимальный процент застройки земельного участка - 30%, другие параметры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в таблице 57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(код 2.2)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дом, не предназначенный для раздела на квартиры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пригодный для постоянного проживания, высотой не выше трех надземных этажей.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Максимальный процент застройки земельного участка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30%, другие параметры в таблице 57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2.3)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Блокированные жилые дома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– не выше 3-х надземных этажей включи-тельно. Блокированные двухквартирные жилые дома, состоящие из двух блоков. Максимальный процент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 участка - 30% на один блок, другие параметры в таблице 57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капитального строительства, размещение которых предусмотрено видами разрешенного использования с </w:t>
            </w:r>
            <w:hyperlink r:id="rId9" w:history="1">
              <w:r>
                <w:t>кодами 3.1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(коммунальное обслу-живание), </w:t>
            </w:r>
            <w:hyperlink r:id="rId10" w:history="1">
              <w:r>
                <w:t>3.4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(здравоохранение), </w:t>
            </w:r>
            <w:hyperlink r:id="rId11" w:history="1">
              <w:r>
                <w:t>3.4.1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(амбулаторно-поликлиническое обслужи-вание), </w:t>
            </w:r>
            <w:hyperlink r:id="rId12" w:history="1">
              <w:r>
                <w:t>3.10.1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(амбулаторное ветери-нарное обслуживание), </w:t>
            </w:r>
            <w:hyperlink r:id="rId13" w:history="1">
              <w:r>
                <w:t>4.7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иничное обслуживание),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блица 57, 58</w:t>
            </w:r>
          </w:p>
        </w:tc>
      </w:tr>
    </w:tbl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6035E" w:rsidRDefault="00727570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24520" cy="4286160"/>
            <wp:effectExtent l="0" t="0" r="30" b="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20" cy="4286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035E" w:rsidRDefault="00727570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06035E" w:rsidRDefault="0006035E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06035E" w:rsidRDefault="00727570">
      <w:pPr>
        <w:pStyle w:val="Standard"/>
        <w:widowControl w:val="0"/>
        <w:numPr>
          <w:ilvl w:val="3"/>
          <w:numId w:val="9"/>
        </w:numPr>
        <w:tabs>
          <w:tab w:val="left" w:pos="284"/>
        </w:tabs>
        <w:spacing w:after="0" w:line="10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Вспомогательные виды разрешенного использования</w:t>
      </w:r>
    </w:p>
    <w:p w:rsidR="0006035E" w:rsidRDefault="0006035E">
      <w:pPr>
        <w:pStyle w:val="Standard"/>
        <w:widowControl w:val="0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4535"/>
        <w:gridCol w:w="2553"/>
      </w:tblGrid>
      <w:tr w:rsidR="000603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Параметры разрешенного строительства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использования земельных участков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2.1)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Индивидуальный гараж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Предельные параметры в таблице 57,58. Водоотвод с крыш объектов должен осуществляться на земельный участок собственника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Подсобные сооружения</w:t>
            </w: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(код 2.2)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Гараж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параметры в таблице 57,58. Водоотвод с крыш объектов должен осуществляться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собственника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Иные вспомогательные сооружения</w:t>
            </w: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Блокированная жилая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застройка</w:t>
            </w:r>
          </w:p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2.3)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lastRenderedPageBreak/>
              <w:t>Индивидуальный гараж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параметры в таблице 58.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Водоотвод с крыш объектов должен осуществляться на земельный участок собственника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Иные вспомогательные сооружения</w:t>
            </w: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</w:tr>
    </w:tbl>
    <w:p w:rsidR="0006035E" w:rsidRDefault="0006035E">
      <w:pPr>
        <w:pStyle w:val="Standard"/>
        <w:widowControl w:val="0"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727570">
      <w:pPr>
        <w:pStyle w:val="Standard"/>
        <w:widowControl w:val="0"/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Условно разрешенные виды использования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4358"/>
        <w:gridCol w:w="2830"/>
      </w:tblGrid>
      <w:tr w:rsidR="0006035E">
        <w:tblPrEx>
          <w:tblCellMar>
            <w:top w:w="0" w:type="dxa"/>
            <w:bottom w:w="0" w:type="dxa"/>
          </w:tblCellMar>
        </w:tblPrEx>
        <w:trPr>
          <w:trHeight w:val="324"/>
          <w:tblHeader/>
        </w:trPr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разрешенного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использования земельных участков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Магазины (код 4.4)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капитального строительства, предназначенные для продажи 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торговая площадь которых составляет до 5000 кв. м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35E" w:rsidRDefault="00727570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торговой площади магазинов в сельской жилой застройке до 50 кв. м</w:t>
            </w:r>
          </w:p>
        </w:tc>
      </w:tr>
    </w:tbl>
    <w:p w:rsidR="0006035E" w:rsidRDefault="00727570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b/>
          <w:sz w:val="24"/>
          <w:szCs w:val="24"/>
          <w:shd w:val="clear" w:color="auto" w:fill="FFFF00"/>
          <w:lang w:eastAsia="ru-RU"/>
        </w:rPr>
        <w:t>Дополнительные нормируемые параметры использования земельных участков:</w:t>
      </w:r>
    </w:p>
    <w:p w:rsidR="0006035E" w:rsidRDefault="0006035E">
      <w:pPr>
        <w:pStyle w:val="Standard"/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6035E" w:rsidRDefault="00727570">
      <w:pPr>
        <w:pStyle w:val="Standard"/>
        <w:widowControl w:val="0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1)</w:t>
      </w:r>
      <w:r>
        <w:rPr>
          <w:rFonts w:ascii="Arial" w:eastAsia="ArialMT" w:hAnsi="Arial"/>
          <w:sz w:val="24"/>
          <w:szCs w:val="24"/>
          <w:lang w:eastAsia="ru-RU"/>
        </w:rPr>
        <w:t xml:space="preserve"> </w:t>
      </w:r>
      <w:r>
        <w:rPr>
          <w:rFonts w:ascii="Times New Roman" w:eastAsia="ArialMT" w:hAnsi="Times New Roman"/>
          <w:sz w:val="24"/>
          <w:szCs w:val="24"/>
          <w:lang w:eastAsia="ru-RU"/>
        </w:rPr>
        <w:t>При проектировании территории малоэтажной жилой застройки следует</w:t>
      </w:r>
      <w:r>
        <w:rPr>
          <w:rFonts w:ascii="Arial" w:eastAsia="ArialMT" w:hAnsi="Arial"/>
          <w:sz w:val="24"/>
          <w:szCs w:val="24"/>
          <w:lang w:eastAsia="ru-RU"/>
        </w:rPr>
        <w:t xml:space="preserve"> </w:t>
      </w:r>
      <w:r>
        <w:rPr>
          <w:rFonts w:ascii="Times New Roman" w:eastAsia="ArialMT" w:hAnsi="Times New Roman"/>
          <w:sz w:val="24"/>
          <w:szCs w:val="24"/>
          <w:lang w:eastAsia="ru-RU"/>
        </w:rPr>
        <w:t>принимать следующие расстояния: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внешних стен индивидуального или блокированного жилого дома до красной линии улицы (линии застройки) следует принимать не менее 5 м (от красной линии пр</w:t>
      </w:r>
      <w:r>
        <w:rPr>
          <w:rFonts w:ascii="Times New Roman" w:eastAsia="ArialMT" w:hAnsi="Times New Roman"/>
          <w:sz w:val="24"/>
          <w:szCs w:val="24"/>
          <w:lang w:eastAsia="ru-RU"/>
        </w:rPr>
        <w:t>оезда – не менее 3 м), до ограждения участка следует принимать не менее 4,5 м, со стороны вводов инженерных сетей при организации колодцев на территории участка – не менее 6 м;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края лесопаркового массива до границ ближних участков жилой застройки – не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 менее 30 м.</w:t>
      </w:r>
    </w:p>
    <w:p w:rsidR="0006035E" w:rsidRDefault="00727570">
      <w:pPr>
        <w:pStyle w:val="Standard"/>
        <w:widowControl w:val="0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2)</w:t>
      </w:r>
      <w:r>
        <w:rPr>
          <w:rFonts w:ascii="Arial" w:eastAsia="ArialMT" w:hAnsi="Arial"/>
          <w:sz w:val="24"/>
          <w:szCs w:val="24"/>
          <w:lang w:eastAsia="ru-RU"/>
        </w:rPr>
        <w:t xml:space="preserve"> </w:t>
      </w:r>
      <w:r>
        <w:rPr>
          <w:rFonts w:ascii="Times New Roman" w:eastAsia="ArialMT" w:hAnsi="Times New Roman"/>
          <w:sz w:val="24"/>
          <w:szCs w:val="24"/>
          <w:lang w:eastAsia="ru-RU"/>
        </w:rPr>
        <w:t>До границы смежного земельного участка расстояния по санитарно-гигиеническим условиям и в зависимости от степени огнестойкости должны быть не менее: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индивидуального и блокированного (двухквартирного) жилого дома – 3 м;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постройки д</w:t>
      </w:r>
      <w:r>
        <w:rPr>
          <w:rFonts w:ascii="Times New Roman" w:eastAsia="ArialMT" w:hAnsi="Times New Roman"/>
          <w:sz w:val="24"/>
          <w:szCs w:val="24"/>
          <w:lang w:eastAsia="ru-RU"/>
        </w:rPr>
        <w:t>ля содержания скота и птицы – 4 м;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других построек (бани, автостоянки и др.) – 1 м;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стволов высокорослых деревьев – 4 м;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стволов среднерослых деревьев – 2 м;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>- от кустарника – 1 м.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ArialMT" w:hAnsi="Times New Roman"/>
          <w:sz w:val="24"/>
          <w:szCs w:val="24"/>
          <w:lang w:eastAsia="ru-RU"/>
        </w:rPr>
        <w:t xml:space="preserve">На территориях с застройкой индивидуальными жилыми домами </w:t>
      </w:r>
      <w:r>
        <w:rPr>
          <w:rFonts w:ascii="Times New Roman" w:eastAsia="ArialMT" w:hAnsi="Times New Roman"/>
          <w:sz w:val="24"/>
          <w:szCs w:val="24"/>
          <w:lang w:eastAsia="ru-RU"/>
        </w:rPr>
        <w:t>или блокированными (двухквартирными)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6035E" w:rsidRDefault="00727570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3) Вид ограждения участка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и его высота должны быть единообразными, как минимум, на протяжении одного квартала с обеих сторон улицы.</w:t>
      </w:r>
    </w:p>
    <w:p w:rsidR="0006035E" w:rsidRDefault="00727570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4) Содержание скота и птицы на приусадебных участках допускается только в районах усадебной застройки сельского типа с размером приусадебного участка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не менее 0,1 га.</w:t>
      </w:r>
    </w:p>
    <w:p w:rsidR="0006035E" w:rsidRDefault="00727570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5) Нахождение животных за пределами подворья без надзора запрещено.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утилизации методом внесения в почву.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альным отделом Федеральной службы по надзору в сфере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lastRenderedPageBreak/>
        <w:t>защиты прав потребителей и благополучия человека по Курганской области.</w:t>
      </w:r>
    </w:p>
    <w:p w:rsidR="0006035E" w:rsidRDefault="00727570">
      <w:pPr>
        <w:pStyle w:val="Standard"/>
        <w:widowControl w:val="0"/>
        <w:spacing w:after="0" w:line="240" w:lineRule="auto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6) При строительстве хозяйственных построек для содержания и разведения животных в личных подсобных хозяйствах граждан расстояния о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таблице:</w:t>
      </w:r>
    </w:p>
    <w:p w:rsidR="0006035E" w:rsidRDefault="0006035E">
      <w:pPr>
        <w:pStyle w:val="Standard"/>
        <w:widowControl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233"/>
        <w:gridCol w:w="174"/>
        <w:gridCol w:w="1220"/>
        <w:gridCol w:w="1395"/>
        <w:gridCol w:w="1320"/>
        <w:gridCol w:w="1358"/>
        <w:gridCol w:w="1506"/>
      </w:tblGrid>
      <w:tr w:rsidR="0006035E">
        <w:tblPrEx>
          <w:tblCellMar>
            <w:top w:w="0" w:type="dxa"/>
            <w:bottom w:w="0" w:type="dxa"/>
          </w:tblCellMar>
        </w:tblPrEx>
        <w:trPr>
          <w:gridAfter w:val="5"/>
          <w:wAfter w:w="5873" w:type="dxa"/>
          <w:trHeight w:val="57"/>
          <w:jc w:val="center"/>
        </w:trPr>
        <w:tc>
          <w:tcPr>
            <w:tcW w:w="1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Нормативный</w:t>
            </w:r>
          </w:p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разрыв, не менее, метров</w:t>
            </w:r>
          </w:p>
        </w:tc>
        <w:tc>
          <w:tcPr>
            <w:tcW w:w="1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Поголовье, голов, не более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 xml:space="preserve">крупный рогатый 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скот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овцы, 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br/>
            </w: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козы</w:t>
            </w: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лошади</w:t>
            </w:r>
          </w:p>
        </w:tc>
        <w:tc>
          <w:tcPr>
            <w:tcW w:w="11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птица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  <w:lang w:val="en-GB" w:eastAsia="ru-RU"/>
              </w:rPr>
              <w:t>маточное поголовье основного стада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120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11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27570"/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кролики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45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</w:t>
            </w:r>
          </w:p>
        </w:tc>
      </w:tr>
    </w:tbl>
    <w:p w:rsidR="0006035E" w:rsidRDefault="00727570">
      <w:pPr>
        <w:pStyle w:val="Standard"/>
        <w:widowControl w:val="0"/>
        <w:spacing w:after="0" w:line="240" w:lineRule="auto"/>
        <w:ind w:firstLine="709"/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При несоблюдении расстояния от мест содержания животных до жилых помещений в личном подсобном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(фермерского) хозяйства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06035E" w:rsidRDefault="00727570">
      <w:pPr>
        <w:pStyle w:val="Standard"/>
        <w:widowControl w:val="0"/>
        <w:spacing w:after="0" w:line="240" w:lineRule="auto"/>
        <w:ind w:firstLine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На территории с застройкой индивидуальными и блокированными жилыми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стоянки автомобилей следует размещать в пределах отведённого участка.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(п.90 Региональные нормативы Курганской области).</w:t>
      </w:r>
    </w:p>
    <w:p w:rsidR="0006035E" w:rsidRDefault="00727570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57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06035E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градостроите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льные регламенты не устанавливаются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27570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27570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06035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27570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27570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035E" w:rsidRDefault="00727570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(процент)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06035E">
            <w:pPr>
              <w:pStyle w:val="Standard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20</w:t>
            </w:r>
          </w:p>
        </w:tc>
      </w:tr>
    </w:tbl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35E" w:rsidRDefault="0072757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06035E" w:rsidRDefault="0072757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 * без учета эксплуатируемой кровли подземных, подвальных, цокольных частей объектов</w:t>
      </w:r>
    </w:p>
    <w:p w:rsidR="0006035E" w:rsidRDefault="0072757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НПУ- не подлежат установлению</w:t>
      </w: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35E" w:rsidRDefault="0072757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035E" w:rsidRDefault="0006035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Решение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Новосидоровской сельской  Думы от 20.05.2014 г. № 9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(наименование представительного органа местного самоуправления,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«Об утверждении Правил землепользования и  застройки  Новосидоровского сельсовета Кетовского района  Курганской области»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035E" w:rsidRDefault="0072757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реквизиты акта о</w:t>
            </w:r>
            <w:r>
              <w:rPr>
                <w:rFonts w:ascii="Times New Roman" w:eastAsia="Times New Roman" w:hAnsi="Times New Roman"/>
                <w:lang w:eastAsia="ru-RU"/>
              </w:rPr>
              <w:t>б утверждении правил)</w:t>
            </w:r>
          </w:p>
        </w:tc>
      </w:tr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06035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Решение  Новосидоровской сельской  Думы от 16.11.2016 г. № 67</w:t>
                  </w:r>
                </w:p>
              </w:tc>
            </w:tr>
            <w:tr w:rsidR="0006035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06035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«О внесении изменений в Правила землепользования и  застройки  Новосидоровского сельсовета Кетовского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района  Курганской области»</w:t>
                  </w:r>
                </w:p>
              </w:tc>
            </w:tr>
            <w:tr w:rsidR="0006035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06035E" w:rsidRDefault="0006035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035E" w:rsidRDefault="0006035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035E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06035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Решение  Новосидоровской сельской  Думы от 08.02.2017 г. № 73</w:t>
                  </w:r>
                </w:p>
              </w:tc>
            </w:tr>
            <w:tr w:rsidR="0006035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06035E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54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«О внесении изменений в Правила землепользования и 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застройки  Новосидоровского сельсовета Кетовского района  Курганской области»</w:t>
                  </w:r>
                </w:p>
              </w:tc>
            </w:tr>
            <w:tr w:rsidR="0006035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035E" w:rsidRDefault="00727570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06035E" w:rsidRDefault="0006035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6035E" w:rsidRDefault="0006035E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06035E" w:rsidRDefault="0072757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 градостроительства                                                                           С.С. 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</w:t>
      </w: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06035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35E" w:rsidRDefault="00727570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06035E" w:rsidRDefault="0072757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06035E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70" w:rsidRDefault="00727570">
      <w:r>
        <w:separator/>
      </w:r>
    </w:p>
  </w:endnote>
  <w:endnote w:type="continuationSeparator" w:id="0">
    <w:p w:rsidR="00727570" w:rsidRDefault="007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70" w:rsidRDefault="00727570">
      <w:r>
        <w:rPr>
          <w:color w:val="000000"/>
        </w:rPr>
        <w:separator/>
      </w:r>
    </w:p>
  </w:footnote>
  <w:footnote w:type="continuationSeparator" w:id="0">
    <w:p w:rsidR="00727570" w:rsidRDefault="0072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200"/>
    <w:multiLevelType w:val="multilevel"/>
    <w:tmpl w:val="E098A2E4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12D0C99"/>
    <w:multiLevelType w:val="multilevel"/>
    <w:tmpl w:val="E8F6CE2C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471595A"/>
    <w:multiLevelType w:val="multilevel"/>
    <w:tmpl w:val="58B2283C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77E6BF9"/>
    <w:multiLevelType w:val="multilevel"/>
    <w:tmpl w:val="1910C0E8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E3F0D87"/>
    <w:multiLevelType w:val="multilevel"/>
    <w:tmpl w:val="5D8425AA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A604E26"/>
    <w:multiLevelType w:val="multilevel"/>
    <w:tmpl w:val="7884FF38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2B9E74AB"/>
    <w:multiLevelType w:val="multilevel"/>
    <w:tmpl w:val="16F0331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348B6DCF"/>
    <w:multiLevelType w:val="multilevel"/>
    <w:tmpl w:val="F72E236C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9FB7F8B"/>
    <w:multiLevelType w:val="multilevel"/>
    <w:tmpl w:val="B8040CA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3A4D69F0"/>
    <w:multiLevelType w:val="multilevel"/>
    <w:tmpl w:val="E370E79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F0F749E"/>
    <w:multiLevelType w:val="multilevel"/>
    <w:tmpl w:val="2B4EBC4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427C4C80"/>
    <w:multiLevelType w:val="multilevel"/>
    <w:tmpl w:val="08A4C5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5255571"/>
    <w:multiLevelType w:val="multilevel"/>
    <w:tmpl w:val="4CC46A0A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4C116A35"/>
    <w:multiLevelType w:val="multilevel"/>
    <w:tmpl w:val="76F65ACC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54FA4BE5"/>
    <w:multiLevelType w:val="multilevel"/>
    <w:tmpl w:val="C7129882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56FA03EC"/>
    <w:multiLevelType w:val="multilevel"/>
    <w:tmpl w:val="3DAEAF8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9816671"/>
    <w:multiLevelType w:val="multilevel"/>
    <w:tmpl w:val="9E6AB1A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FD35B08"/>
    <w:multiLevelType w:val="multilevel"/>
    <w:tmpl w:val="39E8CAB0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6A756241"/>
    <w:multiLevelType w:val="multilevel"/>
    <w:tmpl w:val="2B2A376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C6227E7"/>
    <w:multiLevelType w:val="multilevel"/>
    <w:tmpl w:val="2968EA4A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6FC24263"/>
    <w:multiLevelType w:val="multilevel"/>
    <w:tmpl w:val="1640F2AE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779A105E"/>
    <w:multiLevelType w:val="multilevel"/>
    <w:tmpl w:val="452AEB48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7A1B28B5"/>
    <w:multiLevelType w:val="multilevel"/>
    <w:tmpl w:val="B7A2631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F6179CD"/>
    <w:multiLevelType w:val="multilevel"/>
    <w:tmpl w:val="1DD03586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2"/>
  </w:num>
  <w:num w:numId="7">
    <w:abstractNumId w:val="11"/>
  </w:num>
  <w:num w:numId="8">
    <w:abstractNumId w:val="23"/>
  </w:num>
  <w:num w:numId="9">
    <w:abstractNumId w:val="15"/>
  </w:num>
  <w:num w:numId="10">
    <w:abstractNumId w:val="0"/>
  </w:num>
  <w:num w:numId="11">
    <w:abstractNumId w:val="9"/>
  </w:num>
  <w:num w:numId="12">
    <w:abstractNumId w:val="21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20"/>
  </w:num>
  <w:num w:numId="18">
    <w:abstractNumId w:val="14"/>
  </w:num>
  <w:num w:numId="19">
    <w:abstractNumId w:val="5"/>
  </w:num>
  <w:num w:numId="20">
    <w:abstractNumId w:val="18"/>
  </w:num>
  <w:num w:numId="21">
    <w:abstractNumId w:val="12"/>
  </w:num>
  <w:num w:numId="22">
    <w:abstractNumId w:val="13"/>
  </w:num>
  <w:num w:numId="23">
    <w:abstractNumId w:val="19"/>
  </w:num>
  <w:num w:numId="24">
    <w:abstractNumId w:val="16"/>
  </w:num>
  <w:num w:numId="25">
    <w:abstractNumId w:val="11"/>
    <w:lvlOverride w:ilvl="0">
      <w:startOverride w:val="1"/>
    </w:lvlOverride>
  </w:num>
  <w:num w:numId="26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35E"/>
    <w:rsid w:val="0006035E"/>
    <w:rsid w:val="00727570"/>
    <w:rsid w:val="00F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P2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1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#P193" TargetMode="External"/><Relationship Id="rId4" Type="http://schemas.openxmlformats.org/officeDocument/2006/relationships/settings" Target="settings.xml"/><Relationship Id="rId9" Type="http://schemas.openxmlformats.org/officeDocument/2006/relationships/hyperlink" Target="#P1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2018-10-24T05:30:00Z</cp:lastPrinted>
  <dcterms:created xsi:type="dcterms:W3CDTF">2018-10-25T09:52:00Z</dcterms:created>
  <dcterms:modified xsi:type="dcterms:W3CDTF">2019-01-10T09:44:00Z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