
<file path=[Content_Types].xml><?xml version="1.0" encoding="utf-8"?>
<Types xmlns="http://schemas.openxmlformats.org/package/2006/content-types">
  <Default Extension="rels" ContentType="application/vnd.openxmlformats-package.relationships+xml"/>
  <Default Extension="xml" ContentType="application/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body>
    <w:p>
      <w:pPr>
        <w:pStyle w:val="Normal(Web)1"/>
        <w:pageBreakBefore w:val="on"/>
        <w:spacing w:after="0"/>
        <w:jc w:val="center"/>
        <w:rPr/>
      </w:pPr>
      <w:r>
        <w:rPr>
          <w:b/>
        </w:rPr>
        <w:t>РОССИЙСКАЯ ФЕДЕРАЦИЯ</w:t>
      </w:r>
    </w:p>
    <w:p>
      <w:pPr>
        <w:pStyle w:val="Normal(Web)1"/>
        <w:spacing w:after="0"/>
        <w:jc w:val="center"/>
        <w:rPr/>
      </w:pPr>
      <w:r>
        <w:rPr>
          <w:b/>
        </w:rPr>
        <w:t>КУРГАНСКАЯ ОБЛАСТЬ</w:t>
      </w:r>
    </w:p>
    <w:p>
      <w:pPr>
        <w:pStyle w:val="Normal(Web)1"/>
        <w:spacing w:after="0"/>
        <w:jc w:val="center"/>
        <w:rPr/>
      </w:pPr>
      <w:r>
        <w:rPr>
          <w:b/>
          <w:sz w:val="27"/>
        </w:rPr>
        <w:t>АДМИНИСТРАЦИЯ КЕТОВСКОГО МУНИЦИПАЛЬНОГО ОКРУГА</w:t>
      </w:r>
    </w:p>
    <w:p>
      <w:pPr>
        <w:pStyle w:val="Normal(Web)1"/>
        <w:spacing w:after="0"/>
        <w:jc w:val="center"/>
        <w:rPr/>
      </w:pPr>
    </w:p>
    <w:p>
      <w:pPr>
        <w:pStyle w:val="Normal(Web)1"/>
        <w:spacing w:after="0"/>
        <w:jc w:val="center"/>
        <w:rPr/>
      </w:pPr>
      <w:r>
        <w:rPr>
          <w:b/>
          <w:sz w:val="32"/>
        </w:rPr>
        <w:t>РАСПОРЯЖЕНИЕ</w:t>
      </w:r>
    </w:p>
    <w:p>
      <w:pPr>
        <w:pStyle w:val="Normal(Web)1"/>
        <w:spacing w:after="0"/>
        <w:jc w:val="center"/>
        <w:rPr/>
      </w:pPr>
    </w:p>
    <w:p>
      <w:pPr>
        <w:pStyle w:val="Normal(Web)1"/>
        <w:spacing w:after="0"/>
        <w:jc w:val="center"/>
        <w:rPr/>
      </w:pPr>
    </w:p>
    <w:p>
      <w:pPr>
        <w:pStyle w:val="Normal(Web)1"/>
        <w:spacing w:after="0"/>
        <w:rPr/>
      </w:pPr>
      <w:r>
        <w:t xml:space="preserve">от </w:t>
      </w:r>
      <w:r>
        <w:rPr>
          <w:u w:val="single"/>
        </w:rPr>
        <w:t>14 ноября 2022 г.</w:t>
      </w:r>
      <w:r>
        <w:t xml:space="preserve"> № 73-р</w:t>
      </w:r>
    </w:p>
    <w:p>
      <w:pPr>
        <w:pStyle w:val="Normal(Web)1"/>
        <w:spacing w:after="0"/>
        <w:rPr/>
      </w:pPr>
      <w:r>
        <w:t xml:space="preserve">с. </w:t>
      </w:r>
      <w:r>
        <w:t>Кетово</w:t>
      </w:r>
    </w:p>
    <w:p>
      <w:pPr>
        <w:pStyle w:val="Normal(Web)1"/>
        <w:spacing w:after="0"/>
        <w:rPr/>
      </w:pPr>
    </w:p>
    <w:p>
      <w:pPr>
        <w:pStyle w:val="Normal(Web)1"/>
        <w:spacing w:after="0"/>
        <w:jc w:val="center"/>
        <w:rPr/>
      </w:pPr>
      <w:r>
        <w:rPr>
          <w:b/>
        </w:rPr>
        <w:t xml:space="preserve">О реализации бюджетных инвестиций по приобретению объектов недвижимого имущества в муниципальную собственность муниципального образования </w:t>
      </w:r>
      <w:r>
        <w:rPr>
          <w:b/>
        </w:rPr>
        <w:t>Кетовский</w:t>
      </w:r>
      <w:r>
        <w:rPr>
          <w:b/>
        </w:rPr>
        <w:t xml:space="preserve"> муниципальный округ Курганской области </w:t>
      </w:r>
    </w:p>
    <w:p>
      <w:pPr>
        <w:pStyle w:val="Normal(Web)1"/>
        <w:spacing w:after="0"/>
        <w:ind w:left="0" w:firstLine="709"/>
        <w:jc w:val="both"/>
        <w:rPr/>
      </w:pPr>
      <w:r>
        <w:t>В соответствии с п. 2 ст. 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25 февраля 1999 года №39-ФЗ «Об инвестиционной деятельности в Российской Федерации, осуществляемой в форме капитальных вложений», распоряжением Правительства Российской Федерации от 13 октября 2022 года №2996-р, постановлением Правительства Курганской</w:t>
      </w:r>
      <w:r>
        <w:t xml:space="preserve"> </w:t>
      </w:r>
      <w:r>
        <w:t>области от 09.11.2022 года №344 «Об утверждении Правил предоставления иного межбюджетного трансферта из областного бюджета бюджету Кетовского района Курганской области на финансовое обеспечение мероприятия по приобретению объектов капитального строительства за счет средств резервного фонда Правительства Российской Федерации в 2022 году», распоряжением Департамента финансов Курганской области от 09 ноября 2022 года №750, постановлением Администрации Кетовского района от 27 августа 2020 года</w:t>
      </w:r>
      <w:r>
        <w:t xml:space="preserve"> № </w:t>
      </w:r>
      <w:r>
        <w:t>1354 «Об утверждении Порядка принятия решения о подготовке и реализации бюджетных инвестиций в объекты муниципальной собственности муниципального образования «</w:t>
      </w:r>
      <w:r>
        <w:t>Кетовский</w:t>
      </w:r>
      <w:r>
        <w:t xml:space="preserve"> район», финансирование которых планируется осуществить полностью или частично за счет средств бюджета муниципального образования «</w:t>
      </w:r>
      <w:r>
        <w:t>Кетовский</w:t>
      </w:r>
      <w:r>
        <w:t xml:space="preserve"> район»», решением Думы Кетовского муниципального округа Курганской области от 06 июля 2022 года №16 «О правопреемстве органов местного самоуправления Кетовского муниципального округа Курганской области»: </w:t>
      </w:r>
    </w:p>
    <w:p>
      <w:pPr>
        <w:pStyle w:val="Normal(Web)1"/>
        <w:spacing w:after="0"/>
        <w:jc w:val="both"/>
        <w:rPr/>
      </w:pPr>
      <w:r>
        <w:t xml:space="preserve">1. Реализовать бюджетные инвестиции по приобретению объектов недвижимого имущества в муниципальную собственность муниципального образования </w:t>
      </w:r>
      <w:r>
        <w:t>Кетовский</w:t>
      </w:r>
      <w:r>
        <w:t xml:space="preserve"> муниципальный округ Курганской области в соответствии с приложениями 1, 2, 3. </w:t>
      </w:r>
    </w:p>
    <w:p>
      <w:pPr>
        <w:pStyle w:val="Normal(Web)1"/>
        <w:spacing w:after="0"/>
        <w:jc w:val="both"/>
        <w:rPr/>
      </w:pPr>
      <w:r>
        <w:t xml:space="preserve">2. Администрации Кетовского муниципального округа Курганской области выступить муниципальным заказчиком при приобретении в муниципальную собственность муниципального образования </w:t>
      </w:r>
      <w:r>
        <w:t>Кетовский</w:t>
      </w:r>
      <w:r>
        <w:t xml:space="preserve"> муниципальный округ Курганской области:</w:t>
      </w:r>
    </w:p>
    <w:p>
      <w:pPr>
        <w:pStyle w:val="Normal(Web)1"/>
        <w:spacing w:after="0"/>
        <w:jc w:val="both"/>
        <w:rPr/>
      </w:pPr>
      <w:r>
        <w:t xml:space="preserve">2.1. Объекта капитального строительства «Школа на 1100 мест по адресу Курганская область, </w:t>
      </w:r>
      <w:r>
        <w:t>Кетовский</w:t>
      </w:r>
      <w:r>
        <w:t xml:space="preserve"> район, с. </w:t>
      </w:r>
      <w:r>
        <w:t>Кетово</w:t>
      </w:r>
      <w:r>
        <w:t>, ул. Космонавтов, 49А»;</w:t>
      </w:r>
    </w:p>
    <w:p>
      <w:pPr>
        <w:pStyle w:val="Normal(Web)1"/>
        <w:spacing w:after="0"/>
        <w:jc w:val="both"/>
        <w:rPr/>
      </w:pPr>
      <w:r>
        <w:t xml:space="preserve">2.2. Здания котельной, отапливающей объект капитального строительства «Школа на 1100 мест по адресу Курганская область, </w:t>
      </w:r>
      <w:r>
        <w:t>Кетовский</w:t>
      </w:r>
      <w:r>
        <w:t xml:space="preserve"> район, с. </w:t>
      </w:r>
      <w:r>
        <w:t>Кетово</w:t>
      </w:r>
      <w:r>
        <w:t xml:space="preserve">, ул. Космонавтов, 49А». </w:t>
      </w:r>
    </w:p>
    <w:p>
      <w:pPr>
        <w:pStyle w:val="Normal(Web)1"/>
        <w:spacing w:after="0"/>
        <w:jc w:val="both"/>
        <w:rPr/>
      </w:pPr>
      <w:r>
        <w:t>3. Объект капитального строительства предназначен для реализации общеобразовательных программ начального общего, основного общего, среднего общего образования.</w:t>
      </w:r>
    </w:p>
    <w:p>
      <w:pPr>
        <w:pStyle w:val="Normal(Web)1"/>
        <w:spacing w:after="0"/>
        <w:jc w:val="both"/>
        <w:rPr/>
      </w:pPr>
      <w:r>
        <w:t>4. Настоящее распоряжение разместить на официальном сайте Администрации Кетовского муниципального округа Курганской области в сети «Интернет».</w:t>
      </w:r>
    </w:p>
    <w:p>
      <w:pPr>
        <w:pStyle w:val="Normal(Web)1"/>
        <w:spacing w:after="0"/>
        <w:jc w:val="both"/>
        <w:rPr/>
      </w:pPr>
      <w:r>
        <w:t xml:space="preserve">5. </w:t>
      </w:r>
      <w:r>
        <w:t>Контроль за</w:t>
      </w:r>
      <w:r>
        <w:t xml:space="preserve"> исполнением настоящего распоряжения оставляю за собой.</w:t>
      </w:r>
    </w:p>
    <w:p>
      <w:pPr>
        <w:pStyle w:val="Normal(Web)1"/>
        <w:spacing w:after="0"/>
        <w:rPr/>
      </w:pPr>
    </w:p>
    <w:p>
      <w:pPr>
        <w:pStyle w:val="Normal(Web)1"/>
        <w:spacing w:before="0" w:after="0"/>
        <w:rPr/>
      </w:pPr>
      <w:r>
        <w:t>Глава Кетовского муниципального округа</w:t>
      </w:r>
    </w:p>
    <w:p>
      <w:pPr>
        <w:pStyle w:val="Normal(Web)1"/>
        <w:spacing w:before="0" w:after="0"/>
        <w:rPr/>
      </w:pPr>
      <w:r>
        <w:t xml:space="preserve">Курганской области </w:t>
      </w:r>
      <w:r>
        <w:t xml:space="preserve">                                                                                               </w:t>
      </w:r>
      <w:r>
        <w:t xml:space="preserve">О.Н. </w:t>
      </w:r>
      <w:r>
        <w:t>Язовских</w:t>
      </w:r>
    </w:p>
    <w:p>
      <w:pPr>
        <w:pStyle w:val="Normal(Web)1"/>
        <w:spacing w:before="0" w:after="0"/>
        <w:rPr/>
      </w:pPr>
    </w:p>
    <w:p>
      <w:pPr>
        <w:pStyle w:val="Normal(Web)1"/>
        <w:spacing w:after="0"/>
        <w:rPr/>
      </w:pPr>
    </w:p>
    <w:p>
      <w:pPr>
        <w:pStyle w:val="Normal(Web)1"/>
        <w:spacing w:after="0"/>
        <w:rPr/>
      </w:pPr>
    </w:p>
    <w:p>
      <w:pPr>
        <w:pStyle w:val="Normal(Web)1"/>
        <w:spacing w:after="0"/>
        <w:rPr/>
      </w:pPr>
    </w:p>
    <w:p>
      <w:pPr>
        <w:pStyle w:val="Normal(Web)1"/>
        <w:spacing w:after="0"/>
        <w:rPr/>
      </w:pPr>
    </w:p>
    <w:p>
      <w:pPr>
        <w:pStyle w:val="Normal(Web)1"/>
        <w:spacing w:after="0"/>
        <w:rPr/>
      </w:pPr>
    </w:p>
    <w:p>
      <w:pPr>
        <w:pStyle w:val="Normal(Web)1"/>
        <w:spacing w:after="0"/>
        <w:rPr/>
      </w:pPr>
    </w:p>
    <w:p>
      <w:pPr>
        <w:pStyle w:val="Normal(Web)1"/>
        <w:spacing w:after="0"/>
        <w:rPr/>
      </w:pPr>
    </w:p>
    <w:p>
      <w:pPr>
        <w:pStyle w:val="Normal(Web)1"/>
        <w:spacing w:after="0"/>
        <w:jc w:val="center"/>
        <w:rPr/>
      </w:pPr>
    </w:p>
    <w:p>
      <w:pPr>
        <w:pStyle w:val="Normal(Web)1"/>
        <w:spacing w:after="0"/>
        <w:jc w:val="center"/>
        <w:rPr/>
      </w:pPr>
    </w:p>
    <w:p>
      <w:pPr>
        <w:pStyle w:val="Normal(Web)1"/>
        <w:spacing w:after="0"/>
        <w:jc w:val="center"/>
        <w:rPr/>
      </w:pPr>
    </w:p>
    <w:p>
      <w:pPr>
        <w:pStyle w:val="Normal(Web)1"/>
        <w:spacing w:after="0"/>
        <w:jc w:val="center"/>
        <w:rPr/>
      </w:pPr>
    </w:p>
    <w:p>
      <w:pPr>
        <w:pStyle w:val="Normal(Web)1"/>
        <w:spacing w:after="0"/>
        <w:jc w:val="center"/>
        <w:rPr/>
      </w:pPr>
    </w:p>
    <w:p>
      <w:pPr>
        <w:pStyle w:val="Normal(Web)1"/>
        <w:spacing w:after="0"/>
        <w:jc w:val="center"/>
        <w:rPr/>
        <w:sectPr>
          <w:pgSz w:w="11906" w:h="16838" w:orient="portrait"/>
          <w:pgMar w:top="1134" w:right="850" w:bottom="1134" w:left="1701" w:header="708" w:footer="708" w:gutter="0"/>
        </w:sectPr>
      </w:pPr>
      <w:r>
        <w:t>
</w:t>
      </w:r>
    </w:p>
    <w:p>
      <w:pPr>
        <w:pStyle w:val="Normal(Web)1"/>
        <w:spacing w:after="0"/>
        <w:rPr/>
      </w:pPr>
      <w:r>
        <w:t xml:space="preserve">                                                                                                                                                          </w:t>
      </w:r>
      <w:r>
        <w:t xml:space="preserve">Приложение №1 </w:t>
      </w:r>
    </w:p>
    <w:p>
      <w:pPr>
        <w:spacing w:after="0" w:line="240" w:lineRule="auto"/>
        <w:ind w:left="9276" w:firstLine="0"/>
        <w:rPr>
          <w:rFonts w:ascii="Times New Roman" w:hAnsi="Times New Roman"/>
          <w:sz w:val="24"/>
        </w:rPr>
      </w:pPr>
      <w:r>
        <w:rPr>
          <w:rFonts w:ascii="Times New Roman" w:hAnsi="Times New Roman"/>
          <w:sz w:val="24"/>
        </w:rPr>
        <w:t xml:space="preserve">к Распоряжению Администрации Кетовского муниципального округа Курганской области от 14 ноября 2022 года № 73-р </w:t>
      </w:r>
    </w:p>
    <w:p>
      <w:pPr>
        <w:spacing w:after="0" w:line="240" w:lineRule="auto"/>
        <w:ind w:left="9299" w:firstLine="11"/>
        <w:rPr>
          <w:rFonts w:ascii="Times New Roman" w:hAnsi="Times New Roman"/>
          <w:sz w:val="24"/>
        </w:rPr>
      </w:pPr>
      <w:r>
        <w:rPr>
          <w:rFonts w:ascii="Times New Roman" w:hAnsi="Times New Roman"/>
          <w:sz w:val="24"/>
        </w:rPr>
        <w:t xml:space="preserve">«О реализации бюджетных инвестиций по приобретению объектов недвижимого имущества в муниципальную собственность муниципального образования </w:t>
      </w:r>
      <w:r>
        <w:rPr>
          <w:rFonts w:ascii="Times New Roman" w:hAnsi="Times New Roman"/>
          <w:sz w:val="24"/>
        </w:rPr>
        <w:t>Кетовский</w:t>
      </w:r>
      <w:r>
        <w:rPr>
          <w:rFonts w:ascii="Times New Roman" w:hAnsi="Times New Roman"/>
          <w:sz w:val="24"/>
        </w:rPr>
        <w:t xml:space="preserve"> муниципальный округ Курганской области».</w:t>
      </w:r>
    </w:p>
    <w:p>
      <w:pPr>
        <w:spacing w:after="0" w:line="240" w:lineRule="auto"/>
        <w:ind w:left="9299" w:firstLine="11"/>
        <w:rPr>
          <w:rFonts w:ascii="Times New Roman" w:hAnsi="Times New Roman"/>
          <w:sz w:val="24"/>
        </w:rPr>
      </w:pPr>
    </w:p>
    <w:p>
      <w:pPr>
        <w:spacing w:after="0" w:line="240" w:lineRule="auto"/>
        <w:ind w:left="9299" w:firstLine="11"/>
        <w:rPr>
          <w:rFonts w:ascii="Times New Roman" w:hAnsi="Times New Roman"/>
          <w:sz w:val="24"/>
        </w:rPr>
      </w:pPr>
    </w:p>
    <w:p>
      <w:pPr>
        <w:spacing w:after="0" w:line="240" w:lineRule="auto"/>
        <w:ind w:left="0" w:firstLine="11"/>
        <w:jc w:val="center"/>
        <w:rPr>
          <w:rFonts w:ascii="Times New Roman" w:hAnsi="Times New Roman"/>
          <w:sz w:val="24"/>
        </w:rPr>
      </w:pPr>
      <w:r>
        <w:rPr>
          <w:rFonts w:ascii="Times New Roman" w:hAnsi="Times New Roman"/>
          <w:b/>
          <w:sz w:val="24"/>
        </w:rPr>
        <w:t xml:space="preserve">Бюджетные инвестиции по приобретению объектов недвижимого имущества в муниципальную собственность </w:t>
      </w:r>
    </w:p>
    <w:p>
      <w:pPr>
        <w:spacing w:after="0" w:line="240" w:lineRule="auto"/>
        <w:ind w:left="0" w:firstLine="11"/>
        <w:jc w:val="center"/>
        <w:rPr>
          <w:rFonts w:ascii="Times New Roman" w:hAnsi="Times New Roman"/>
          <w:sz w:val="24"/>
        </w:rPr>
      </w:pPr>
      <w:r>
        <w:rPr>
          <w:rFonts w:ascii="Times New Roman" w:hAnsi="Times New Roman"/>
          <w:b/>
          <w:sz w:val="24"/>
        </w:rPr>
        <w:t xml:space="preserve">муниципального образования </w:t>
      </w:r>
      <w:r>
        <w:rPr>
          <w:rFonts w:ascii="Times New Roman" w:hAnsi="Times New Roman"/>
          <w:b/>
          <w:sz w:val="24"/>
        </w:rPr>
        <w:t>Кетовский</w:t>
      </w:r>
      <w:r>
        <w:rPr>
          <w:rFonts w:ascii="Times New Roman" w:hAnsi="Times New Roman"/>
          <w:b/>
          <w:sz w:val="24"/>
        </w:rPr>
        <w:t xml:space="preserve"> муниципальный округ Курганской области</w:t>
      </w:r>
    </w:p>
    <w:p>
      <w:pPr>
        <w:spacing w:after="0" w:line="240" w:lineRule="auto"/>
        <w:ind w:left="0" w:firstLine="11"/>
        <w:rPr>
          <w:rFonts w:ascii="Times New Roman" w:hAnsi="Times New Roman"/>
          <w:sz w:val="24"/>
        </w:rPr>
      </w:pPr>
    </w:p>
    <w:tbl>
      <w:tblPr>
        <w:tblStyle w:val="NormalTable"/>
        <w:tblBorders>
          <w:top w:val="single" w:color="000000" w:sz="6" w:space="0"/>
          <w:left w:val="single" w:color="000000" w:sz="6" w:space="0"/>
          <w:bottom w:val="single" w:color="000000" w:sz="6" w:space="0"/>
          <w:right w:val="single" w:color="000000" w:sz="6" w:space="0"/>
        </w:tblBorders>
        <w:tblLayout w:type="fixed"/>
        <w:tblCellMar>
          <w:top w:w="60" w:type="dxa"/>
          <w:left w:w="60" w:type="dxa"/>
          <w:bottom w:w="60" w:type="dxa"/>
          <w:right w:w="60" w:type="dxa"/>
        </w:tblCellMar>
      </w:tblPr>
      <w:tblGrid>
        <w:gridCol w:w="3497"/>
        <w:gridCol w:w="2331"/>
        <w:gridCol w:w="2186"/>
        <w:gridCol w:w="2040"/>
        <w:gridCol w:w="1603"/>
        <w:gridCol w:w="2914"/>
      </w:tblGrid>
      <w:tr>
        <w:trPr/>
        <w:tc>
          <w:tcPr>
            <w:cnfStyle w:val="100010000000"/>
            <w:tcW w:w="349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b/>
                <w:sz w:val="24"/>
              </w:rPr>
              <w:t>Наименование объекта</w:t>
            </w:r>
          </w:p>
        </w:tc>
        <w:tc>
          <w:tcPr>
            <w:cnfStyle w:val="100001000000"/>
            <w:tcW w:w="233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b/>
                <w:sz w:val="24"/>
              </w:rPr>
              <w:t>Наименование главного распорядителя</w:t>
            </w:r>
          </w:p>
        </w:tc>
        <w:tc>
          <w:tcPr>
            <w:cnfStyle w:val="100010000000"/>
            <w:tcW w:w="218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b/>
                <w:sz w:val="24"/>
              </w:rPr>
              <w:t>Наименования муниципального заказчика</w:t>
            </w:r>
          </w:p>
        </w:tc>
        <w:tc>
          <w:tcPr>
            <w:cnfStyle w:val="100001000000"/>
            <w:tcW w:w="204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b/>
                <w:sz w:val="24"/>
              </w:rPr>
              <w:t>Наименование застройщика (заказчика)</w:t>
            </w:r>
          </w:p>
        </w:tc>
        <w:tc>
          <w:tcPr>
            <w:cnfStyle w:val="100010000000"/>
            <w:tcW w:w="1603"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b/>
                <w:sz w:val="24"/>
              </w:rPr>
              <w:t>Срок потребления</w:t>
            </w:r>
          </w:p>
        </w:tc>
        <w:tc>
          <w:tcPr>
            <w:cnfStyle w:val="100001000000"/>
            <w:tcW w:w="2914"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b/>
                <w:sz w:val="24"/>
              </w:rPr>
              <w:t>Наименование муниципальной программы</w:t>
            </w:r>
          </w:p>
        </w:tc>
      </w:tr>
      <w:tr>
        <w:trPr/>
        <w:tc>
          <w:tcPr>
            <w:cnfStyle w:val="000010000000"/>
            <w:tcW w:w="349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rPr>
                <w:rFonts w:ascii="Times New Roman" w:hAnsi="Times New Roman"/>
                <w:sz w:val="24"/>
              </w:rPr>
            </w:pPr>
            <w:r>
              <w:rPr>
                <w:rFonts w:ascii="Times New Roman" w:hAnsi="Times New Roman"/>
                <w:sz w:val="24"/>
              </w:rPr>
              <w:t xml:space="preserve">Объект капитального строительства «Школа на 1100 мест по адресу: Курганская область, </w:t>
            </w:r>
            <w:r>
              <w:rPr>
                <w:rFonts w:ascii="Times New Roman" w:hAnsi="Times New Roman"/>
                <w:sz w:val="24"/>
              </w:rPr>
              <w:t>Кетовский</w:t>
            </w:r>
            <w:r>
              <w:rPr>
                <w:rFonts w:ascii="Times New Roman" w:hAnsi="Times New Roman"/>
                <w:sz w:val="24"/>
              </w:rPr>
              <w:t xml:space="preserve"> район, с. </w:t>
            </w:r>
            <w:r>
              <w:rPr>
                <w:rFonts w:ascii="Times New Roman" w:hAnsi="Times New Roman"/>
                <w:sz w:val="24"/>
              </w:rPr>
              <w:t>Кетово</w:t>
            </w:r>
            <w:r>
              <w:rPr>
                <w:rFonts w:ascii="Times New Roman" w:hAnsi="Times New Roman"/>
                <w:sz w:val="24"/>
              </w:rPr>
              <w:t xml:space="preserve">, ул. Космонавтов, 49А», здание котельной, отапливающей указанный объект. </w:t>
            </w:r>
          </w:p>
        </w:tc>
        <w:tc>
          <w:tcPr>
            <w:cnfStyle w:val="000001000000"/>
            <w:tcW w:w="233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 xml:space="preserve">Администрация Кетовского муниципального округа Курганской области </w:t>
            </w:r>
          </w:p>
        </w:tc>
        <w:tc>
          <w:tcPr>
            <w:cnfStyle w:val="000010000000"/>
            <w:tcW w:w="218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 xml:space="preserve">Администрация Кетовского муниципального округа Курганской области </w:t>
            </w:r>
          </w:p>
        </w:tc>
        <w:tc>
          <w:tcPr>
            <w:cnfStyle w:val="000001000000"/>
            <w:tcW w:w="204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ООО «Эверест»</w:t>
            </w:r>
          </w:p>
          <w:p>
            <w:pPr>
              <w:spacing w:after="119" w:line="240" w:lineRule="auto"/>
              <w:jc w:val="center"/>
              <w:rPr>
                <w:rFonts w:ascii="Times New Roman" w:hAnsi="Times New Roman"/>
                <w:sz w:val="24"/>
              </w:rPr>
            </w:pPr>
            <w:r>
              <w:rPr>
                <w:rFonts w:ascii="Times New Roman" w:hAnsi="Times New Roman"/>
                <w:sz w:val="24"/>
              </w:rPr>
              <w:t>ИНН 4501124540</w:t>
            </w:r>
          </w:p>
        </w:tc>
        <w:tc>
          <w:tcPr>
            <w:cnfStyle w:val="000010000000"/>
            <w:tcW w:w="1603"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2022</w:t>
            </w:r>
          </w:p>
        </w:tc>
        <w:tc>
          <w:tcPr>
            <w:cnfStyle w:val="000001000000"/>
            <w:tcW w:w="2914"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 xml:space="preserve">Муниципальная программа Кетовского муниципального округа Курганской области «Развитие образования и реализация государственной молодежной политики» </w:t>
            </w:r>
          </w:p>
        </w:tc>
      </w:tr>
    </w:tbl>
    <w:p>
      <w:pPr>
        <w:spacing w:after="0" w:line="240" w:lineRule="auto"/>
        <w:rPr>
          <w:rFonts w:ascii="Times New Roman" w:hAnsi="Times New Roman"/>
          <w:sz w:val="24"/>
        </w:rPr>
      </w:pPr>
    </w:p>
    <w:p>
      <w:pPr>
        <w:spacing w:after="0" w:line="240" w:lineRule="auto"/>
        <w:ind w:left="-11" w:firstLine="11"/>
        <w:rPr>
          <w:rFonts w:ascii="Times New Roman" w:hAnsi="Times New Roman"/>
          <w:sz w:val="24"/>
        </w:rPr>
      </w:pPr>
    </w:p>
    <w:p>
      <w:pPr>
        <w:spacing w:after="0" w:line="240" w:lineRule="auto"/>
        <w:ind w:left="9276" w:firstLine="0"/>
        <w:rPr>
          <w:rFonts w:ascii="Times New Roman" w:hAnsi="Times New Roman"/>
          <w:sz w:val="24"/>
        </w:rPr>
      </w:pPr>
      <w:r>
        <w:rPr>
          <w:rFonts w:ascii="Times New Roman" w:hAnsi="Times New Roman"/>
          <w:sz w:val="24"/>
        </w:rPr>
        <w:t xml:space="preserve">Приложение № 2 </w:t>
      </w:r>
    </w:p>
    <w:p>
      <w:pPr>
        <w:spacing w:after="0" w:line="240" w:lineRule="auto"/>
        <w:ind w:left="9276" w:firstLine="0"/>
        <w:rPr>
          <w:rFonts w:ascii="Times New Roman" w:hAnsi="Times New Roman"/>
          <w:sz w:val="24"/>
        </w:rPr>
      </w:pPr>
      <w:r>
        <w:rPr>
          <w:rFonts w:ascii="Times New Roman" w:hAnsi="Times New Roman"/>
          <w:sz w:val="24"/>
        </w:rPr>
        <w:t>к Распоряжению Администрации Кетовского района от 14 ноября 2022 года № 73-р</w:t>
      </w:r>
    </w:p>
    <w:p>
      <w:pPr>
        <w:spacing w:after="0" w:line="240" w:lineRule="auto"/>
        <w:ind w:left="9299" w:firstLine="11"/>
        <w:rPr>
          <w:rFonts w:ascii="Times New Roman" w:hAnsi="Times New Roman"/>
          <w:sz w:val="24"/>
        </w:rPr>
      </w:pPr>
      <w:r>
        <w:rPr>
          <w:rFonts w:ascii="Times New Roman" w:hAnsi="Times New Roman"/>
          <w:sz w:val="24"/>
        </w:rPr>
        <w:t xml:space="preserve">«О реализации бюджетных инвестиций по приобретению объектов недвижимого имущества в муниципальную собственность муниципального образования </w:t>
      </w:r>
      <w:r>
        <w:rPr>
          <w:rFonts w:ascii="Times New Roman" w:hAnsi="Times New Roman"/>
          <w:sz w:val="24"/>
        </w:rPr>
        <w:t>Кетовский</w:t>
      </w:r>
      <w:r>
        <w:rPr>
          <w:rFonts w:ascii="Times New Roman" w:hAnsi="Times New Roman"/>
          <w:sz w:val="24"/>
        </w:rPr>
        <w:t xml:space="preserve"> муниципальный округ Курганской области».</w:t>
      </w:r>
    </w:p>
    <w:p>
      <w:pPr>
        <w:spacing w:after="0" w:line="240" w:lineRule="auto"/>
        <w:ind w:left="0" w:firstLine="11"/>
        <w:jc w:val="center"/>
        <w:rPr>
          <w:rFonts w:ascii="Times New Roman" w:hAnsi="Times New Roman"/>
          <w:sz w:val="24"/>
        </w:rPr>
      </w:pPr>
      <w:r>
        <w:rPr>
          <w:rFonts w:ascii="Times New Roman" w:hAnsi="Times New Roman"/>
          <w:b/>
          <w:sz w:val="24"/>
        </w:rPr>
        <w:t xml:space="preserve">Стоимость приобретения объекта </w:t>
      </w:r>
    </w:p>
    <w:tbl>
      <w:tblPr>
        <w:tblStyle w:val="NormalTable"/>
        <w:tblBorders>
          <w:top w:val="single" w:color="000000" w:sz="6" w:space="0"/>
          <w:left w:val="single" w:color="000000" w:sz="6" w:space="0"/>
          <w:bottom w:val="single" w:color="000000" w:sz="6" w:space="0"/>
          <w:right w:val="single" w:color="000000" w:sz="6" w:space="0"/>
        </w:tblBorders>
        <w:tblLayout w:type="fixed"/>
        <w:tblCellMar>
          <w:top w:w="60" w:type="dxa"/>
          <w:left w:w="60" w:type="dxa"/>
          <w:bottom w:w="60" w:type="dxa"/>
          <w:right w:w="60" w:type="dxa"/>
        </w:tblCellMar>
      </w:tblPr>
      <w:tblGrid>
        <w:gridCol w:w="729"/>
        <w:gridCol w:w="3788"/>
        <w:gridCol w:w="2477"/>
        <w:gridCol w:w="3788"/>
        <w:gridCol w:w="3788"/>
      </w:tblGrid>
      <w:tr>
        <w:trPr/>
        <w:tc>
          <w:tcPr>
            <w:cnfStyle w:val="100010000000"/>
            <w:tcW w:w="729"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b/>
                <w:sz w:val="24"/>
              </w:rPr>
              <w:t>РП</w:t>
            </w:r>
          </w:p>
        </w:tc>
        <w:tc>
          <w:tcPr>
            <w:cnfStyle w:val="100001000000"/>
            <w:tcW w:w="3788"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b/>
                <w:sz w:val="24"/>
              </w:rPr>
              <w:t>Наименование объекта</w:t>
            </w:r>
          </w:p>
        </w:tc>
        <w:tc>
          <w:tcPr>
            <w:cnfStyle w:val="100010000000"/>
            <w:tcW w:w="247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b/>
                <w:sz w:val="24"/>
              </w:rPr>
              <w:t>Источники финансирования</w:t>
            </w:r>
          </w:p>
        </w:tc>
        <w:tc>
          <w:tcPr>
            <w:cnfStyle w:val="100001000000"/>
            <w:tcW w:w="3788"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b/>
                <w:sz w:val="24"/>
              </w:rPr>
              <w:t xml:space="preserve">Стоимость объекта приобретения в муниципальную собственность муниципального образования </w:t>
            </w:r>
            <w:r>
              <w:rPr>
                <w:rFonts w:ascii="Times New Roman" w:hAnsi="Times New Roman"/>
                <w:b/>
                <w:sz w:val="24"/>
              </w:rPr>
              <w:t>Кетовский</w:t>
            </w:r>
            <w:r>
              <w:rPr>
                <w:rFonts w:ascii="Times New Roman" w:hAnsi="Times New Roman"/>
                <w:b/>
                <w:sz w:val="24"/>
              </w:rPr>
              <w:t xml:space="preserve"> муниципальный округ Курганской области, тыс. руб.</w:t>
            </w:r>
          </w:p>
        </w:tc>
        <w:tc>
          <w:tcPr>
            <w:cnfStyle w:val="100010000000"/>
            <w:tcW w:w="3788"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b/>
                <w:sz w:val="24"/>
              </w:rPr>
              <w:t>Распределение общего объема стоимости, тыс. руб. в 2022 году</w:t>
            </w:r>
          </w:p>
        </w:tc>
      </w:tr>
      <w:tr>
        <w:trPr/>
        <w:tc>
          <w:tcPr>
            <w:cnfStyle w:val="000010000000"/>
            <w:tcW w:w="729"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rPr>
                <w:rFonts w:ascii="Times New Roman" w:hAnsi="Times New Roman"/>
                <w:sz w:val="24"/>
              </w:rPr>
            </w:pPr>
          </w:p>
        </w:tc>
        <w:tc>
          <w:tcPr>
            <w:cnfStyle w:val="000001000000"/>
            <w:tcW w:w="3788"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p>
        </w:tc>
        <w:tc>
          <w:tcPr>
            <w:cnfStyle w:val="000010000000"/>
            <w:tcW w:w="247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Всего, в т.ч.</w:t>
            </w:r>
          </w:p>
        </w:tc>
        <w:tc>
          <w:tcPr>
            <w:cnfStyle w:val="000001000000"/>
            <w:tcW w:w="3788"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755500,3</w:t>
            </w:r>
          </w:p>
        </w:tc>
        <w:tc>
          <w:tcPr>
            <w:cnfStyle w:val="000010000000"/>
            <w:tcW w:w="3788"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755500,3</w:t>
            </w:r>
          </w:p>
        </w:tc>
      </w:tr>
      <w:tr>
        <w:trPr/>
        <w:tc>
          <w:tcPr>
            <w:cnfStyle w:val="000010000000"/>
            <w:tcW w:w="729"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rPr>
                <w:rFonts w:ascii="Times New Roman" w:hAnsi="Times New Roman"/>
                <w:sz w:val="24"/>
              </w:rPr>
            </w:pPr>
          </w:p>
        </w:tc>
        <w:tc>
          <w:tcPr>
            <w:cnfStyle w:val="000001000000"/>
            <w:tcW w:w="3788"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rPr>
                <w:rFonts w:ascii="Times New Roman" w:hAnsi="Times New Roman"/>
                <w:sz w:val="24"/>
              </w:rPr>
            </w:pPr>
            <w:r>
              <w:rPr>
                <w:rFonts w:ascii="Times New Roman" w:hAnsi="Times New Roman"/>
                <w:sz w:val="24"/>
              </w:rPr>
              <w:t xml:space="preserve">Объект капитального строительства «Школа на 1100 мест по адресу: Курганская область, </w:t>
            </w:r>
            <w:r>
              <w:rPr>
                <w:rFonts w:ascii="Times New Roman" w:hAnsi="Times New Roman"/>
                <w:sz w:val="24"/>
              </w:rPr>
              <w:t>Кетовский</w:t>
            </w:r>
            <w:r>
              <w:rPr>
                <w:rFonts w:ascii="Times New Roman" w:hAnsi="Times New Roman"/>
                <w:sz w:val="24"/>
              </w:rPr>
              <w:t xml:space="preserve"> район, с. </w:t>
            </w:r>
            <w:r>
              <w:rPr>
                <w:rFonts w:ascii="Times New Roman" w:hAnsi="Times New Roman"/>
                <w:sz w:val="24"/>
              </w:rPr>
              <w:t>Кетово</w:t>
            </w:r>
            <w:r>
              <w:rPr>
                <w:rFonts w:ascii="Times New Roman" w:hAnsi="Times New Roman"/>
                <w:sz w:val="24"/>
              </w:rPr>
              <w:t xml:space="preserve">, ул. Космонавтов, 49А», здание котельной, отапливающей указанный объект. </w:t>
            </w:r>
          </w:p>
        </w:tc>
        <w:tc>
          <w:tcPr>
            <w:cnfStyle w:val="000010000000"/>
            <w:tcW w:w="247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Федеральный бюджет</w:t>
            </w:r>
          </w:p>
        </w:tc>
        <w:tc>
          <w:tcPr>
            <w:cnfStyle w:val="000001000000"/>
            <w:tcW w:w="3788"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p>
          <w:p>
            <w:pPr>
              <w:spacing w:after="119" w:line="240" w:lineRule="auto"/>
              <w:jc w:val="center"/>
              <w:rPr>
                <w:rFonts w:ascii="Times New Roman" w:hAnsi="Times New Roman"/>
                <w:sz w:val="24"/>
              </w:rPr>
            </w:pPr>
            <w:r>
              <w:rPr>
                <w:rFonts w:ascii="Times New Roman" w:hAnsi="Times New Roman"/>
                <w:sz w:val="24"/>
              </w:rPr>
              <w:t>755500,3</w:t>
            </w:r>
          </w:p>
          <w:p>
            <w:pPr>
              <w:spacing w:after="119" w:line="240" w:lineRule="auto"/>
              <w:jc w:val="center"/>
              <w:rPr>
                <w:rFonts w:ascii="Times New Roman" w:hAnsi="Times New Roman"/>
                <w:sz w:val="24"/>
              </w:rPr>
            </w:pPr>
          </w:p>
        </w:tc>
        <w:tc>
          <w:tcPr>
            <w:cnfStyle w:val="000010000000"/>
            <w:tcW w:w="3788"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p>
          <w:p>
            <w:pPr>
              <w:spacing w:after="119" w:line="240" w:lineRule="auto"/>
              <w:jc w:val="center"/>
              <w:rPr>
                <w:rFonts w:ascii="Times New Roman" w:hAnsi="Times New Roman"/>
                <w:sz w:val="24"/>
              </w:rPr>
            </w:pPr>
            <w:r>
              <w:rPr>
                <w:rFonts w:ascii="Times New Roman" w:hAnsi="Times New Roman"/>
                <w:sz w:val="24"/>
              </w:rPr>
              <w:t>755500,3</w:t>
            </w:r>
          </w:p>
          <w:p>
            <w:pPr>
              <w:spacing w:after="119" w:line="240" w:lineRule="auto"/>
              <w:jc w:val="center"/>
              <w:rPr>
                <w:rFonts w:ascii="Times New Roman" w:hAnsi="Times New Roman"/>
                <w:sz w:val="24"/>
              </w:rPr>
            </w:pPr>
          </w:p>
        </w:tc>
      </w:tr>
    </w:tbl>
    <w:p>
      <w:pPr>
        <w:rPr/>
        <w:sectPr>
          <w:pgSz w:w="16838" w:h="11906" w:orient="landscape"/>
          <w:pgMar w:top="850" w:right="1134" w:bottom="1701" w:left="1134" w:header="708" w:footer="708" w:gutter="0"/>
        </w:sectPr>
      </w:pPr>
      <w:r>
        <w:rPr/>
        <w:br w:type="page"/>
      </w:r>
      <w:r>
        <w:t>
</w:t>
      </w:r>
    </w:p>
    <w:p>
      <w:pPr>
        <w:spacing w:after="0" w:line="240" w:lineRule="auto"/>
        <w:ind w:left="5715" w:firstLine="11"/>
        <w:rPr>
          <w:rFonts w:ascii="Times New Roman" w:hAnsi="Times New Roman"/>
          <w:sz w:val="24"/>
        </w:rPr>
      </w:pPr>
      <w:r>
        <w:rPr>
          <w:rFonts w:ascii="Times New Roman" w:hAnsi="Times New Roman"/>
          <w:sz w:val="24"/>
        </w:rPr>
        <w:t xml:space="preserve">Приложение № 3 к Распоряжению Администрации Кетовского муниципального округа Курганской области от 14 ноября </w:t>
      </w:r>
      <w:r>
        <w:rPr>
          <w:rFonts w:ascii="Times New Roman" w:hAnsi="Times New Roman"/>
          <w:sz w:val="24"/>
          <w:u w:val="single"/>
        </w:rPr>
        <w:t>2022 г</w:t>
      </w:r>
      <w:r>
        <w:rPr>
          <w:rFonts w:ascii="Times New Roman" w:hAnsi="Times New Roman"/>
          <w:sz w:val="24"/>
        </w:rPr>
        <w:t xml:space="preserve">. № 73-р «О реализации бюджетных инвестиций по приобретению объектов недвижимого имущества в муниципальную собственность муниципального образования </w:t>
      </w:r>
      <w:r>
        <w:rPr>
          <w:rFonts w:ascii="Times New Roman" w:hAnsi="Times New Roman"/>
          <w:sz w:val="24"/>
        </w:rPr>
        <w:t>Кетовский</w:t>
      </w:r>
      <w:r>
        <w:rPr>
          <w:rFonts w:ascii="Times New Roman" w:hAnsi="Times New Roman"/>
          <w:sz w:val="24"/>
        </w:rPr>
        <w:t xml:space="preserve"> муниципальный округ Курганской области».</w:t>
      </w:r>
    </w:p>
    <w:p>
      <w:pPr>
        <w:spacing w:after="0" w:line="240" w:lineRule="auto"/>
        <w:ind w:left="5715" w:firstLine="11"/>
        <w:rPr>
          <w:rFonts w:ascii="Times New Roman" w:hAnsi="Times New Roman"/>
          <w:sz w:val="24"/>
        </w:rPr>
      </w:pPr>
    </w:p>
    <w:p>
      <w:pPr>
        <w:spacing w:after="0" w:line="240" w:lineRule="auto"/>
        <w:ind w:left="23" w:firstLine="11"/>
        <w:jc w:val="center"/>
        <w:rPr>
          <w:rFonts w:ascii="Times New Roman" w:hAnsi="Times New Roman"/>
          <w:sz w:val="24"/>
        </w:rPr>
      </w:pPr>
      <w:r>
        <w:rPr>
          <w:rFonts w:ascii="Times New Roman" w:hAnsi="Times New Roman"/>
          <w:b/>
          <w:sz w:val="24"/>
        </w:rPr>
        <w:t xml:space="preserve">Мощность (технико-экономические показатели) приобретаемого объекта: </w:t>
      </w:r>
      <w:r>
        <w:rPr>
          <w:rFonts w:ascii="Times New Roman" w:hAnsi="Times New Roman"/>
          <w:sz w:val="24"/>
        </w:rPr>
        <w:t xml:space="preserve">«Школа на 1100 мест по адресу: Курганская область, </w:t>
      </w:r>
      <w:r>
        <w:rPr>
          <w:rFonts w:ascii="Times New Roman" w:hAnsi="Times New Roman"/>
          <w:sz w:val="24"/>
        </w:rPr>
        <w:t>Кетовский</w:t>
      </w:r>
      <w:r>
        <w:rPr>
          <w:rFonts w:ascii="Times New Roman" w:hAnsi="Times New Roman"/>
          <w:sz w:val="24"/>
        </w:rPr>
        <w:t xml:space="preserve"> район, с. </w:t>
      </w:r>
      <w:r>
        <w:rPr>
          <w:rFonts w:ascii="Times New Roman" w:hAnsi="Times New Roman"/>
          <w:sz w:val="24"/>
        </w:rPr>
        <w:t>Кетово</w:t>
      </w:r>
      <w:r>
        <w:rPr>
          <w:rFonts w:ascii="Times New Roman" w:hAnsi="Times New Roman"/>
          <w:sz w:val="24"/>
        </w:rPr>
        <w:t>, ул. Космонавтов, 49А»</w:t>
      </w:r>
    </w:p>
    <w:p>
      <w:pPr>
        <w:spacing w:after="0" w:line="240" w:lineRule="auto"/>
        <w:ind w:left="23" w:firstLine="11"/>
        <w:jc w:val="center"/>
        <w:rPr>
          <w:rFonts w:ascii="Times New Roman" w:hAnsi="Times New Roman"/>
          <w:sz w:val="24"/>
        </w:rPr>
      </w:pPr>
    </w:p>
    <w:tbl>
      <w:tblPr>
        <w:tblStyle w:val="NormalTable"/>
        <w:tblBorders>
          <w:top w:val="single" w:color="000000" w:sz="6" w:space="0"/>
          <w:left w:val="single" w:color="000000" w:sz="6" w:space="0"/>
          <w:bottom w:val="single" w:color="000000" w:sz="6" w:space="0"/>
          <w:right w:val="single" w:color="000000" w:sz="6" w:space="0"/>
        </w:tblBorders>
        <w:tblLayout w:type="fixed"/>
        <w:tblCellMar>
          <w:top w:w="60" w:type="dxa"/>
          <w:left w:w="60" w:type="dxa"/>
          <w:bottom w:w="60" w:type="dxa"/>
          <w:right w:w="60" w:type="dxa"/>
        </w:tblCellMar>
      </w:tblPr>
      <w:tblGrid>
        <w:gridCol w:w="726"/>
        <w:gridCol w:w="3627"/>
        <w:gridCol w:w="1281"/>
        <w:gridCol w:w="3720"/>
      </w:tblGrid>
      <w:tr>
        <w:trPr/>
        <w:tc>
          <w:tcPr>
            <w:cnfStyle w:val="100010000000"/>
            <w:tcW w:w="72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w:t>
            </w:r>
          </w:p>
          <w:p>
            <w:pPr>
              <w:spacing w:after="119" w:line="240" w:lineRule="auto"/>
              <w:jc w:val="center"/>
              <w:rPr>
                <w:rFonts w:ascii="Times New Roman" w:hAnsi="Times New Roman"/>
                <w:sz w:val="24"/>
              </w:rPr>
            </w:pPr>
            <w:r>
              <w:rPr>
                <w:rFonts w:ascii="Times New Roman" w:hAnsi="Times New Roman"/>
                <w:b/>
                <w:sz w:val="24"/>
              </w:rPr>
              <w:t>п</w:t>
            </w:r>
            <w:r>
              <w:rPr>
                <w:rFonts w:ascii="Times New Roman" w:hAnsi="Times New Roman"/>
                <w:b/>
                <w:sz w:val="24"/>
              </w:rPr>
              <w:t>/</w:t>
            </w:r>
            <w:r>
              <w:rPr>
                <w:rFonts w:ascii="Times New Roman" w:hAnsi="Times New Roman"/>
                <w:b/>
                <w:sz w:val="24"/>
              </w:rPr>
              <w:t>п</w:t>
            </w:r>
          </w:p>
        </w:tc>
        <w:tc>
          <w:tcPr>
            <w:cnfStyle w:val="100001000000"/>
            <w:tcW w:w="362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b/>
                <w:sz w:val="24"/>
              </w:rPr>
              <w:t>Наименование показателей</w:t>
            </w:r>
          </w:p>
        </w:tc>
        <w:tc>
          <w:tcPr>
            <w:cnfStyle w:val="100010000000"/>
            <w:tcW w:w="128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b/>
                <w:sz w:val="24"/>
              </w:rPr>
              <w:t>Ед. измерения</w:t>
            </w:r>
          </w:p>
        </w:tc>
        <w:tc>
          <w:tcPr>
            <w:cnfStyle w:val="100001000000"/>
            <w:tcW w:w="372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b/>
                <w:sz w:val="24"/>
              </w:rPr>
              <w:t>Данные по техническому паспорту (иным документам, в том числе правоустанавливающим)</w:t>
            </w:r>
          </w:p>
        </w:tc>
      </w:tr>
      <w:tr>
        <w:trPr/>
        <w:tc>
          <w:tcPr>
            <w:cnfStyle w:val="000010000000"/>
            <w:tcW w:w="72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1</w:t>
            </w:r>
          </w:p>
        </w:tc>
        <w:tc>
          <w:tcPr>
            <w:cnfStyle w:val="000001000000"/>
            <w:tcW w:w="362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rPr>
                <w:rFonts w:ascii="Times New Roman" w:hAnsi="Times New Roman"/>
                <w:sz w:val="24"/>
              </w:rPr>
            </w:pPr>
            <w:r>
              <w:rPr>
                <w:rFonts w:ascii="Times New Roman" w:hAnsi="Times New Roman"/>
                <w:sz w:val="24"/>
              </w:rPr>
              <w:t>Этажность</w:t>
            </w:r>
          </w:p>
        </w:tc>
        <w:tc>
          <w:tcPr>
            <w:cnfStyle w:val="000010000000"/>
            <w:tcW w:w="128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p>
        </w:tc>
        <w:tc>
          <w:tcPr>
            <w:cnfStyle w:val="000001000000"/>
            <w:tcW w:w="372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4</w:t>
            </w:r>
          </w:p>
        </w:tc>
      </w:tr>
      <w:tr>
        <w:trPr/>
        <w:tc>
          <w:tcPr>
            <w:cnfStyle w:val="000010000000"/>
            <w:tcW w:w="72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2</w:t>
            </w:r>
          </w:p>
        </w:tc>
        <w:tc>
          <w:tcPr>
            <w:cnfStyle w:val="000001000000"/>
            <w:tcW w:w="362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rPr>
                <w:rFonts w:ascii="Times New Roman" w:hAnsi="Times New Roman"/>
                <w:sz w:val="24"/>
              </w:rPr>
            </w:pPr>
            <w:r>
              <w:rPr>
                <w:rFonts w:ascii="Times New Roman" w:hAnsi="Times New Roman"/>
                <w:sz w:val="24"/>
              </w:rPr>
              <w:t>Общая площадь объекта</w:t>
            </w:r>
          </w:p>
        </w:tc>
        <w:tc>
          <w:tcPr>
            <w:cnfStyle w:val="000010000000"/>
            <w:tcW w:w="128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м</w:t>
            </w:r>
            <w:r>
              <w:rPr>
                <w:rFonts w:ascii="Times New Roman" w:hAnsi="Times New Roman"/>
                <w:sz w:val="24"/>
              </w:rPr>
              <w:t>2</w:t>
            </w:r>
          </w:p>
        </w:tc>
        <w:tc>
          <w:tcPr>
            <w:cnfStyle w:val="000001000000"/>
            <w:tcW w:w="372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21996,5</w:t>
            </w:r>
          </w:p>
        </w:tc>
      </w:tr>
      <w:tr>
        <w:trPr/>
        <w:tc>
          <w:tcPr>
            <w:cnfStyle w:val="000010000000"/>
            <w:tcW w:w="72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3</w:t>
            </w:r>
          </w:p>
        </w:tc>
        <w:tc>
          <w:tcPr>
            <w:cnfStyle w:val="000001000000"/>
            <w:tcW w:w="362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rPr>
                <w:rFonts w:ascii="Times New Roman" w:hAnsi="Times New Roman"/>
                <w:sz w:val="24"/>
              </w:rPr>
            </w:pPr>
            <w:r>
              <w:rPr>
                <w:rFonts w:ascii="Times New Roman" w:hAnsi="Times New Roman"/>
                <w:sz w:val="24"/>
              </w:rPr>
              <w:t>Вместимость объекта</w:t>
            </w:r>
          </w:p>
        </w:tc>
        <w:tc>
          <w:tcPr>
            <w:cnfStyle w:val="000010000000"/>
            <w:tcW w:w="128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чел.</w:t>
            </w:r>
          </w:p>
        </w:tc>
        <w:tc>
          <w:tcPr>
            <w:cnfStyle w:val="000001000000"/>
            <w:tcW w:w="372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1243</w:t>
            </w:r>
          </w:p>
        </w:tc>
      </w:tr>
      <w:tr>
        <w:trPr/>
        <w:tc>
          <w:tcPr>
            <w:cnfStyle w:val="000010000000"/>
            <w:tcW w:w="72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4</w:t>
            </w:r>
          </w:p>
        </w:tc>
        <w:tc>
          <w:tcPr>
            <w:cnfStyle w:val="000001000000"/>
            <w:tcW w:w="362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rPr>
                <w:rFonts w:ascii="Times New Roman" w:hAnsi="Times New Roman"/>
                <w:sz w:val="24"/>
              </w:rPr>
            </w:pPr>
            <w:r>
              <w:rPr>
                <w:rFonts w:ascii="Times New Roman" w:hAnsi="Times New Roman"/>
                <w:sz w:val="24"/>
              </w:rPr>
              <w:t>Количество персонала</w:t>
            </w:r>
          </w:p>
        </w:tc>
        <w:tc>
          <w:tcPr>
            <w:cnfStyle w:val="000010000000"/>
            <w:tcW w:w="128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чел.</w:t>
            </w:r>
          </w:p>
        </w:tc>
        <w:tc>
          <w:tcPr>
            <w:cnfStyle w:val="000001000000"/>
            <w:tcW w:w="372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143</w:t>
            </w:r>
          </w:p>
        </w:tc>
      </w:tr>
      <w:tr>
        <w:trPr/>
        <w:tc>
          <w:tcPr>
            <w:cnfStyle w:val="000010000000"/>
            <w:tcW w:w="72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5</w:t>
            </w:r>
          </w:p>
        </w:tc>
        <w:tc>
          <w:tcPr>
            <w:cnfStyle w:val="000001000000"/>
            <w:tcW w:w="3627"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rPr>
                <w:rFonts w:ascii="Times New Roman" w:hAnsi="Times New Roman"/>
                <w:sz w:val="24"/>
              </w:rPr>
            </w:pPr>
            <w:r>
              <w:rPr>
                <w:rFonts w:ascii="Times New Roman" w:hAnsi="Times New Roman"/>
                <w:sz w:val="24"/>
              </w:rPr>
              <w:t>Ориентировочные сроки приобретения</w:t>
            </w:r>
          </w:p>
        </w:tc>
        <w:tc>
          <w:tcPr>
            <w:cnfStyle w:val="000010000000"/>
            <w:tcW w:w="1281"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год</w:t>
            </w:r>
          </w:p>
        </w:tc>
        <w:tc>
          <w:tcPr>
            <w:cnfStyle w:val="000001000000"/>
            <w:tcW w:w="372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pPr>
              <w:spacing w:after="119" w:line="240" w:lineRule="auto"/>
              <w:jc w:val="center"/>
              <w:rPr>
                <w:rFonts w:ascii="Times New Roman" w:hAnsi="Times New Roman"/>
                <w:sz w:val="24"/>
              </w:rPr>
            </w:pPr>
            <w:r>
              <w:rPr>
                <w:rFonts w:ascii="Times New Roman" w:hAnsi="Times New Roman"/>
                <w:sz w:val="24"/>
              </w:rPr>
              <w:t>2022</w:t>
            </w:r>
          </w:p>
        </w:tc>
      </w:tr>
    </w:tbl>
    <w:p>
      <w:pPr>
        <w:spacing w:after="0" w:line="240" w:lineRule="auto"/>
        <w:ind w:left="0" w:firstLine="11"/>
        <w:rPr>
          <w:rFonts w:ascii="Times New Roman" w:hAnsi="Times New Roman"/>
          <w:sz w:val="24"/>
        </w:rPr>
      </w:pPr>
    </w:p>
    <w:p>
      <w:pPr>
        <w:rPr>
          <w:rFonts w:ascii="Times New Roman" w:hAnsi="Times New Roman"/>
          <w:sz w:val="24"/>
        </w:rPr>
      </w:pPr>
    </w:p>
    <w:p>
      <w:pPr>
        <w:pStyle w:val="Normal(Web)1"/>
        <w:spacing w:after="0"/>
        <w:jc w:val="center"/>
        <w:rPr/>
      </w:pPr>
    </w:p>
    <w:p>
      <w:pPr>
        <w:pStyle w:val="Normal(Web)1"/>
        <w:spacing w:after="0"/>
        <w:jc w:val="center"/>
        <w:rPr/>
      </w:pPr>
    </w:p>
    <w:p>
      <w:pPr>
        <w:pStyle w:val="Normal(Web)1"/>
        <w:spacing w:after="0"/>
        <w:jc w:val="center"/>
        <w:rPr/>
      </w:pPr>
    </w:p>
    <w:p>
      <w:pPr>
        <w:pStyle w:val="Normal(Web)1"/>
        <w:spacing w:after="0"/>
        <w:jc w:val="center"/>
        <w:rPr/>
      </w:pPr>
    </w:p>
    <w:p>
      <w:pPr>
        <w:pStyle w:val="Normal(Web)1"/>
        <w:spacing w:after="0"/>
        <w:rPr/>
      </w:pPr>
    </w:p>
    <w:p/>
    <w:sectPr>
      <w:pgSz w:w="11906" w:h="16838" w:orient="portrait"/>
      <w:pgMar w:top="1134" w:right="850" w:bottom="1134" w:left="1701" w:header="708" w:footer="7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val="on"/>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val="on"/>
    <w:pitch w:val="fixed"/>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XO Thames"/>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footnotePr/>
  <w:endnotePr/>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r="http://schemas.openxmlformats.org/officeDocument/2006/relationships" xmlns:w="http://schemas.openxmlformats.org/wordprocessingml/2006/main">
  <w:docDefaults>
    <w:rPrDefault>
      <w:rPr>
        <w:rFonts w:asciiTheme="minorAscii" w:hAnsiTheme="minorHAnsi"/>
        <w:color w:val="000000"/>
        <w:spacing w:val="0"/>
        <w:sz w:val="22"/>
      </w:rPr>
    </w:rPrDefault>
    <w:pPrDefault>
      <w:pPr>
        <w:spacing w:before="0" w:after="200" w:line="276" w:lineRule="auto"/>
        <w:ind w:left="0" w:right="0" w:firstLine="0"/>
        <w:jc w:val="left"/>
      </w:pPr>
    </w:pPrDefault>
  </w:docDefaults>
  <w:style w:type="paragraph" w:default="1" w:styleId="Normal1">
    <w:name w:val="Normal1"/>
    <w:link w:val="Normal2"/>
    <w:uiPriority w:val="0"/>
    <w:qFormat w:val="on"/>
  </w:style>
  <w:style w:type="character" w:default="1" w:styleId="Normal2">
    <w:name w:val="Normal2"/>
    <w:link w:val="Normal1"/>
    <w:uiPriority w:val="99"/>
  </w:style>
  <w:style w:type="paragraph" w:styleId="Toc21">
    <w:name w:val="Toc 21"/>
    <w:next w:val="Normal1"/>
    <w:link w:val="Toc2"/>
    <w:uiPriority w:val="39"/>
    <w:pPr>
      <w:ind w:left="200" w:firstLine="0"/>
      <w:jc w:val="left"/>
    </w:pPr>
    <w:rPr>
      <w:rFonts w:ascii="XO Thames" w:hAnsi="XO Thames"/>
      <w:sz w:val="28"/>
    </w:rPr>
  </w:style>
  <w:style w:type="character" w:styleId="Toc2">
    <w:name w:val="Toc 2"/>
    <w:link w:val="Toc21"/>
    <w:uiPriority w:val="99"/>
    <w:rPr>
      <w:rFonts w:ascii="XO Thames" w:hAnsi="XO Thames"/>
      <w:sz w:val="28"/>
    </w:rPr>
  </w:style>
  <w:style w:type="paragraph" w:styleId="Toc41">
    <w:name w:val="Toc 41"/>
    <w:next w:val="Normal1"/>
    <w:link w:val="Toc4"/>
    <w:uiPriority w:val="39"/>
    <w:pPr>
      <w:ind w:left="600" w:firstLine="0"/>
      <w:jc w:val="left"/>
    </w:pPr>
    <w:rPr>
      <w:rFonts w:ascii="XO Thames" w:hAnsi="XO Thames"/>
      <w:sz w:val="28"/>
    </w:rPr>
  </w:style>
  <w:style w:type="character" w:styleId="Toc4">
    <w:name w:val="Toc 4"/>
    <w:link w:val="Toc41"/>
    <w:uiPriority w:val="99"/>
    <w:rPr>
      <w:rFonts w:ascii="XO Thames" w:hAnsi="XO Thames"/>
      <w:sz w:val="28"/>
    </w:rPr>
  </w:style>
  <w:style w:type="paragraph" w:styleId="Toc61">
    <w:name w:val="Toc 61"/>
    <w:next w:val="Normal1"/>
    <w:link w:val="Toc6"/>
    <w:uiPriority w:val="39"/>
    <w:pPr>
      <w:ind w:left="1000" w:firstLine="0"/>
      <w:jc w:val="left"/>
    </w:pPr>
    <w:rPr>
      <w:rFonts w:ascii="XO Thames" w:hAnsi="XO Thames"/>
      <w:sz w:val="28"/>
    </w:rPr>
  </w:style>
  <w:style w:type="character" w:styleId="Toc6">
    <w:name w:val="Toc 6"/>
    <w:link w:val="Toc61"/>
    <w:uiPriority w:val="99"/>
    <w:rPr>
      <w:rFonts w:ascii="XO Thames" w:hAnsi="XO Thames"/>
      <w:sz w:val="28"/>
    </w:rPr>
  </w:style>
  <w:style w:type="paragraph" w:styleId="Toc71">
    <w:name w:val="Toc 71"/>
    <w:next w:val="Normal1"/>
    <w:link w:val="Toc7"/>
    <w:uiPriority w:val="39"/>
    <w:pPr>
      <w:ind w:left="1200" w:firstLine="0"/>
      <w:jc w:val="left"/>
    </w:pPr>
    <w:rPr>
      <w:rFonts w:ascii="XO Thames" w:hAnsi="XO Thames"/>
      <w:sz w:val="28"/>
    </w:rPr>
  </w:style>
  <w:style w:type="character" w:styleId="Toc7">
    <w:name w:val="Toc 7"/>
    <w:link w:val="Toc71"/>
    <w:uiPriority w:val="99"/>
    <w:rPr>
      <w:rFonts w:ascii="XO Thames" w:hAnsi="XO Thames"/>
      <w:sz w:val="28"/>
    </w:rPr>
  </w:style>
  <w:style w:type="paragraph" w:styleId="Heading31">
    <w:name w:val="Heading 31"/>
    <w:next w:val="Normal1"/>
    <w:link w:val="Heading32"/>
    <w:uiPriority w:val="9"/>
    <w:qFormat w:val="on"/>
    <w:pPr>
      <w:spacing w:before="120" w:after="120"/>
      <w:jc w:val="both"/>
    </w:pPr>
    <w:rPr>
      <w:rFonts w:ascii="XO Thames" w:hAnsi="XO Thames"/>
      <w:b/>
      <w:sz w:val="26"/>
    </w:rPr>
  </w:style>
  <w:style w:type="character" w:styleId="Heading32">
    <w:name w:val="Heading 32"/>
    <w:link w:val="Heading31"/>
    <w:uiPriority w:val="99"/>
    <w:rPr>
      <w:rFonts w:ascii="XO Thames" w:hAnsi="XO Thames"/>
      <w:b/>
      <w:sz w:val="26"/>
    </w:rPr>
  </w:style>
  <w:style w:type="paragraph" w:styleId="Toc31">
    <w:name w:val="Toc 31"/>
    <w:next w:val="Normal1"/>
    <w:link w:val="Toc3"/>
    <w:uiPriority w:val="39"/>
    <w:pPr>
      <w:ind w:left="400" w:firstLine="0"/>
      <w:jc w:val="left"/>
    </w:pPr>
    <w:rPr>
      <w:rFonts w:ascii="XO Thames" w:hAnsi="XO Thames"/>
      <w:sz w:val="28"/>
    </w:rPr>
  </w:style>
  <w:style w:type="character" w:styleId="Toc3">
    <w:name w:val="Toc 3"/>
    <w:link w:val="Toc31"/>
    <w:uiPriority w:val="99"/>
    <w:rPr>
      <w:rFonts w:ascii="XO Thames" w:hAnsi="XO Thames"/>
      <w:sz w:val="28"/>
    </w:rPr>
  </w:style>
  <w:style w:type="paragraph" w:styleId="Heading51">
    <w:name w:val="Heading 51"/>
    <w:next w:val="Normal1"/>
    <w:link w:val="Heading52"/>
    <w:uiPriority w:val="9"/>
    <w:qFormat w:val="on"/>
    <w:pPr>
      <w:spacing w:before="120" w:after="120"/>
      <w:jc w:val="both"/>
    </w:pPr>
    <w:rPr>
      <w:rFonts w:ascii="XO Thames" w:hAnsi="XO Thames"/>
      <w:b/>
      <w:sz w:val="22"/>
    </w:rPr>
  </w:style>
  <w:style w:type="character" w:styleId="Heading52">
    <w:name w:val="Heading 52"/>
    <w:link w:val="Heading51"/>
    <w:uiPriority w:val="99"/>
    <w:rPr>
      <w:rFonts w:ascii="XO Thames" w:hAnsi="XO Thames"/>
      <w:b/>
      <w:sz w:val="22"/>
    </w:rPr>
  </w:style>
  <w:style w:type="paragraph" w:styleId="Heading11">
    <w:name w:val="Heading 11"/>
    <w:next w:val="Normal1"/>
    <w:link w:val="Heading12"/>
    <w:uiPriority w:val="9"/>
    <w:qFormat w:val="on"/>
    <w:pPr>
      <w:spacing w:before="120" w:after="120"/>
      <w:jc w:val="both"/>
    </w:pPr>
    <w:rPr>
      <w:rFonts w:ascii="XO Thames" w:hAnsi="XO Thames"/>
      <w:b/>
      <w:sz w:val="32"/>
    </w:rPr>
  </w:style>
  <w:style w:type="character" w:styleId="Heading12">
    <w:name w:val="Heading 12"/>
    <w:link w:val="Heading11"/>
    <w:uiPriority w:val="99"/>
    <w:rPr>
      <w:rFonts w:ascii="XO Thames" w:hAnsi="XO Thames"/>
      <w:b/>
      <w:sz w:val="32"/>
    </w:rPr>
  </w:style>
  <w:style w:type="paragraph" w:styleId="Hyperlink1">
    <w:name w:val="Hyperlink1"/>
    <w:link w:val="Hyperlink"/>
    <w:uiPriority w:val="99"/>
    <w:rPr>
      <w:color w:val="0000ff"/>
      <w:u w:val="single"/>
    </w:rPr>
  </w:style>
  <w:style w:type="character" w:styleId="Hyperlink">
    <w:name w:val="Hyperlink"/>
    <w:link w:val="Hyperlink1"/>
    <w:uiPriority w:val="99"/>
    <w:rPr>
      <w:color w:val="0000ff"/>
      <w:u w:val="single"/>
    </w:rPr>
  </w:style>
  <w:style w:type="paragraph" w:styleId="Footnote1">
    <w:name w:val="Footnote1"/>
    <w:link w:val="Footnote"/>
    <w:uiPriority w:val="99"/>
    <w:pPr>
      <w:ind w:left="0" w:firstLine="851"/>
      <w:jc w:val="both"/>
    </w:pPr>
    <w:rPr>
      <w:rFonts w:ascii="XO Thames" w:hAnsi="XO Thames"/>
      <w:sz w:val="22"/>
    </w:rPr>
  </w:style>
  <w:style w:type="character" w:styleId="Footnote">
    <w:name w:val="Footnote"/>
    <w:link w:val="Footnote1"/>
    <w:uiPriority w:val="99"/>
    <w:rPr>
      <w:rFonts w:ascii="XO Thames" w:hAnsi="XO Thames"/>
      <w:sz w:val="22"/>
    </w:rPr>
  </w:style>
  <w:style w:type="paragraph" w:styleId="Toc11">
    <w:name w:val="Toc 11"/>
    <w:next w:val="Normal1"/>
    <w:link w:val="Toc1"/>
    <w:uiPriority w:val="39"/>
    <w:pPr>
      <w:ind w:left="0" w:firstLine="0"/>
      <w:jc w:val="left"/>
    </w:pPr>
    <w:rPr>
      <w:rFonts w:ascii="XO Thames" w:hAnsi="XO Thames"/>
      <w:b/>
      <w:sz w:val="28"/>
    </w:rPr>
  </w:style>
  <w:style w:type="character" w:styleId="Toc1">
    <w:name w:val="Toc 1"/>
    <w:link w:val="Toc11"/>
    <w:uiPriority w:val="99"/>
    <w:rPr>
      <w:rFonts w:ascii="XO Thames" w:hAnsi="XO Thames"/>
      <w:b/>
      <w:sz w:val="28"/>
    </w:rPr>
  </w:style>
  <w:style w:type="paragraph" w:styleId="HeaderandFooter1">
    <w:name w:val="Header and Footer1"/>
    <w:link w:val="HeaderandFooter"/>
    <w:uiPriority w:val="99"/>
    <w:pPr>
      <w:spacing w:line="240" w:lineRule="auto"/>
      <w:jc w:val="both"/>
    </w:pPr>
    <w:rPr>
      <w:rFonts w:ascii="XO Thames" w:hAnsi="XO Thames"/>
      <w:sz w:val="20"/>
    </w:rPr>
  </w:style>
  <w:style w:type="character" w:styleId="HeaderandFooter">
    <w:name w:val="Header and Footer"/>
    <w:link w:val="HeaderandFooter1"/>
    <w:uiPriority w:val="99"/>
    <w:rPr>
      <w:rFonts w:ascii="XO Thames" w:hAnsi="XO Thames"/>
      <w:sz w:val="20"/>
    </w:rPr>
  </w:style>
  <w:style w:type="paragraph" w:styleId="Toc91">
    <w:name w:val="Toc 91"/>
    <w:next w:val="Normal1"/>
    <w:link w:val="Toc9"/>
    <w:uiPriority w:val="39"/>
    <w:pPr>
      <w:ind w:left="1600" w:firstLine="0"/>
      <w:jc w:val="left"/>
    </w:pPr>
    <w:rPr>
      <w:rFonts w:ascii="XO Thames" w:hAnsi="XO Thames"/>
      <w:sz w:val="28"/>
    </w:rPr>
  </w:style>
  <w:style w:type="character" w:styleId="Toc9">
    <w:name w:val="Toc 9"/>
    <w:link w:val="Toc91"/>
    <w:uiPriority w:val="99"/>
    <w:rPr>
      <w:rFonts w:ascii="XO Thames" w:hAnsi="XO Thames"/>
      <w:sz w:val="28"/>
    </w:rPr>
  </w:style>
  <w:style w:type="paragraph" w:styleId="Normal(Web)1">
    <w:name w:val="Normal (Web)1"/>
    <w:basedOn w:val="Normal1"/>
    <w:link w:val="Normal(Web)"/>
    <w:uiPriority w:val="99"/>
    <w:pPr>
      <w:spacing w:after="119" w:line="240" w:lineRule="auto"/>
    </w:pPr>
    <w:rPr>
      <w:rFonts w:ascii="Times New Roman" w:hAnsi="Times New Roman"/>
      <w:sz w:val="24"/>
    </w:rPr>
  </w:style>
  <w:style w:type="character" w:styleId="Normal(Web)">
    <w:name w:val="Normal (Web)"/>
    <w:basedOn w:val="Normal2"/>
    <w:link w:val="Normal(Web)1"/>
    <w:uiPriority w:val="99"/>
    <w:rPr>
      <w:rFonts w:ascii="Times New Roman" w:hAnsi="Times New Roman"/>
      <w:sz w:val="24"/>
    </w:rPr>
  </w:style>
  <w:style w:type="paragraph" w:styleId="Toc81">
    <w:name w:val="Toc 81"/>
    <w:next w:val="Normal1"/>
    <w:link w:val="Toc8"/>
    <w:uiPriority w:val="39"/>
    <w:pPr>
      <w:ind w:left="1400" w:firstLine="0"/>
      <w:jc w:val="left"/>
    </w:pPr>
    <w:rPr>
      <w:rFonts w:ascii="XO Thames" w:hAnsi="XO Thames"/>
      <w:sz w:val="28"/>
    </w:rPr>
  </w:style>
  <w:style w:type="character" w:styleId="Toc8">
    <w:name w:val="Toc 8"/>
    <w:link w:val="Toc81"/>
    <w:uiPriority w:val="99"/>
    <w:rPr>
      <w:rFonts w:ascii="XO Thames" w:hAnsi="XO Thames"/>
      <w:sz w:val="28"/>
    </w:rPr>
  </w:style>
  <w:style w:type="paragraph" w:styleId="DefaultParagraphFont1">
    <w:name w:val="Default Paragraph Font1"/>
    <w:link w:val="DefaultParagraphFont"/>
    <w:uiPriority w:val="99"/>
  </w:style>
  <w:style w:type="character" w:default="1" w:styleId="DefaultParagraphFont">
    <w:name w:val="Default Paragraph Font"/>
    <w:link w:val="DefaultParagraphFont1"/>
    <w:uiPriority w:val="99"/>
  </w:style>
  <w:style w:type="paragraph" w:styleId="Toc51">
    <w:name w:val="Toc 51"/>
    <w:next w:val="Normal1"/>
    <w:link w:val="Toc5"/>
    <w:uiPriority w:val="39"/>
    <w:pPr>
      <w:ind w:left="800" w:firstLine="0"/>
      <w:jc w:val="left"/>
    </w:pPr>
    <w:rPr>
      <w:rFonts w:ascii="XO Thames" w:hAnsi="XO Thames"/>
      <w:sz w:val="28"/>
    </w:rPr>
  </w:style>
  <w:style w:type="character" w:styleId="Toc5">
    <w:name w:val="Toc 5"/>
    <w:link w:val="Toc51"/>
    <w:uiPriority w:val="99"/>
    <w:rPr>
      <w:rFonts w:ascii="XO Thames" w:hAnsi="XO Thames"/>
      <w:sz w:val="28"/>
    </w:rPr>
  </w:style>
  <w:style w:type="paragraph" w:styleId="Subtitle1">
    <w:name w:val="Subtitle1"/>
    <w:next w:val="Normal1"/>
    <w:link w:val="Subtitle2"/>
    <w:uiPriority w:val="11"/>
    <w:qFormat w:val="on"/>
    <w:pPr>
      <w:jc w:val="both"/>
    </w:pPr>
    <w:rPr>
      <w:rFonts w:ascii="XO Thames" w:hAnsi="XO Thames"/>
      <w:i/>
      <w:sz w:val="24"/>
    </w:rPr>
  </w:style>
  <w:style w:type="character" w:styleId="Subtitle2">
    <w:name w:val="Subtitle2"/>
    <w:link w:val="Subtitle1"/>
    <w:uiPriority w:val="99"/>
    <w:rPr>
      <w:rFonts w:ascii="XO Thames" w:hAnsi="XO Thames"/>
      <w:i/>
      <w:sz w:val="24"/>
    </w:rPr>
  </w:style>
  <w:style w:type="paragraph" w:styleId="Title1">
    <w:name w:val="Title1"/>
    <w:next w:val="Normal1"/>
    <w:link w:val="Title2"/>
    <w:uiPriority w:val="10"/>
    <w:qFormat w:val="on"/>
    <w:pPr>
      <w:spacing w:before="567" w:after="567"/>
      <w:jc w:val="center"/>
    </w:pPr>
    <w:rPr>
      <w:rFonts w:ascii="XO Thames" w:hAnsi="XO Thames"/>
      <w:b/>
      <w:caps/>
      <w:sz w:val="40"/>
    </w:rPr>
  </w:style>
  <w:style w:type="character" w:styleId="Title2">
    <w:name w:val="Title2"/>
    <w:link w:val="Title1"/>
    <w:uiPriority w:val="99"/>
    <w:rPr>
      <w:rFonts w:ascii="XO Thames" w:hAnsi="XO Thames"/>
      <w:b/>
      <w:caps/>
      <w:sz w:val="40"/>
    </w:rPr>
  </w:style>
  <w:style w:type="paragraph" w:styleId="Heading41">
    <w:name w:val="Heading 41"/>
    <w:next w:val="Normal1"/>
    <w:link w:val="Heading42"/>
    <w:uiPriority w:val="9"/>
    <w:qFormat w:val="on"/>
    <w:pPr>
      <w:spacing w:before="120" w:after="120"/>
      <w:jc w:val="both"/>
    </w:pPr>
    <w:rPr>
      <w:rFonts w:ascii="XO Thames" w:hAnsi="XO Thames"/>
      <w:b/>
      <w:sz w:val="24"/>
    </w:rPr>
  </w:style>
  <w:style w:type="character" w:styleId="Heading42">
    <w:name w:val="Heading 42"/>
    <w:link w:val="Heading41"/>
    <w:uiPriority w:val="99"/>
    <w:rPr>
      <w:rFonts w:ascii="XO Thames" w:hAnsi="XO Thames"/>
      <w:b/>
      <w:sz w:val="24"/>
    </w:rPr>
  </w:style>
  <w:style w:type="paragraph" w:styleId="Heading21">
    <w:name w:val="Heading 21"/>
    <w:next w:val="Normal1"/>
    <w:link w:val="Heading22"/>
    <w:uiPriority w:val="9"/>
    <w:qFormat w:val="on"/>
    <w:pPr>
      <w:spacing w:before="120" w:after="120"/>
      <w:jc w:val="both"/>
    </w:pPr>
    <w:rPr>
      <w:rFonts w:ascii="XO Thames" w:hAnsi="XO Thames"/>
      <w:b/>
      <w:sz w:val="28"/>
    </w:rPr>
  </w:style>
  <w:style w:type="character" w:styleId="Heading22">
    <w:name w:val="Heading 22"/>
    <w:link w:val="Heading21"/>
    <w:uiPriority w:val="99"/>
    <w:rPr>
      <w:rFonts w:ascii="XO Thames" w:hAnsi="XO Thames"/>
      <w:b/>
      <w:sz w:val="28"/>
    </w:rPr>
  </w:style>
  <w:style w:type="table" w:default="1" w:styleId="NormalTable">
    <w:name w:val="Normal Table"/>
    <w:uiPriority w:val="99"/>
    <w:tblPr>
      <w:tblInd w:w="0" w:type="dxa"/>
      <w:tblCellMar>
        <w:top w:w="0" w:type="dxa"/>
        <w:left w:w="108" w:type="dxa"/>
        <w:bottom w:w="0" w:type="dxa"/>
        <w:right w:w="108" w:type="dxa"/>
      </w:tblCellMar>
    </w:tblPr>
  </w:style>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ettings" Target="settings.xml"/><Relationship Id="rId3" Type="http://schemas.openxmlformats.org/officeDocument/2006/relationships/styles" Target="styles.xml"/><Relationship Id="rId6" Type="http://schemas.openxmlformats.org/officeDocument/2006/relationships/theme" Target="theme/theme1.xml"/><Relationship Id="rId4" Type="http://schemas.microsoft.com/office/2007/relationships/stylesWithEffects" Target="stylesWithEffects.xml"/><Relationship Id="rId5" Type="http://schemas.openxmlformats.org/officeDocument/2006/relationships/webSettings" Target="webSettings.xml"/></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