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03D50">
      <w:pPr>
        <w:jc w:val="center"/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000000" w:rsidRDefault="00303D50">
      <w:pPr>
        <w:pStyle w:val="1"/>
      </w:pPr>
      <w:r>
        <w:t>КУРГАНСКАЯ ОБЛАСТЬ</w:t>
      </w:r>
    </w:p>
    <w:p w:rsidR="00000000" w:rsidRDefault="00303D50">
      <w:pPr>
        <w:jc w:val="center"/>
        <w:rPr>
          <w:b/>
          <w:bCs/>
        </w:rPr>
      </w:pPr>
    </w:p>
    <w:p w:rsidR="00000000" w:rsidRDefault="00303D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АДМИНИСТРАЦИЯ КЕТОВСКОГО РАЙОНА</w:t>
      </w:r>
    </w:p>
    <w:p w:rsidR="00000000" w:rsidRDefault="00303D50">
      <w:pPr>
        <w:jc w:val="center"/>
        <w:rPr>
          <w:b/>
          <w:bCs/>
          <w:sz w:val="32"/>
          <w:szCs w:val="32"/>
        </w:rPr>
      </w:pPr>
    </w:p>
    <w:p w:rsidR="00000000" w:rsidRDefault="00303D5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000000" w:rsidRDefault="00303D50">
      <w:pPr>
        <w:rPr>
          <w:b/>
          <w:bCs/>
        </w:rPr>
      </w:pPr>
    </w:p>
    <w:p w:rsidR="00000000" w:rsidRDefault="00303D50"/>
    <w:p w:rsidR="00000000" w:rsidRDefault="00303D50">
      <w:r>
        <w:t xml:space="preserve">от   </w:t>
      </w:r>
      <w:r>
        <w:rPr>
          <w:u w:val="single"/>
        </w:rPr>
        <w:t>18 апреля 2019 г.</w:t>
      </w:r>
      <w:r>
        <w:t xml:space="preserve">  № </w:t>
      </w:r>
      <w:r>
        <w:rPr>
          <w:u w:val="single"/>
        </w:rPr>
        <w:t xml:space="preserve">631 </w:t>
      </w:r>
    </w:p>
    <w:p w:rsidR="00000000" w:rsidRDefault="00303D50">
      <w:r>
        <w:t xml:space="preserve">             </w:t>
      </w:r>
      <w:r>
        <w:rPr>
          <w:sz w:val="20"/>
          <w:szCs w:val="20"/>
        </w:rPr>
        <w:t>с. Кетово</w:t>
      </w:r>
    </w:p>
    <w:p w:rsidR="00000000" w:rsidRDefault="00303D50"/>
    <w:p w:rsidR="00000000" w:rsidRDefault="00303D50"/>
    <w:p w:rsidR="00000000" w:rsidRDefault="00303D50"/>
    <w:p w:rsidR="00000000" w:rsidRDefault="00303D50">
      <w:pPr>
        <w:pStyle w:val="af1"/>
        <w:shd w:val="clear" w:color="auto" w:fill="FFFFFF"/>
        <w:tabs>
          <w:tab w:val="left" w:pos="993"/>
        </w:tabs>
        <w:spacing w:before="0" w:after="0"/>
        <w:ind w:left="14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Кетовского района от 02 апреля 2018 года № 596 «Об утвержд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 предоставления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2018 - 2022 годы»</w:t>
      </w:r>
    </w:p>
    <w:p w:rsidR="00000000" w:rsidRDefault="00303D50">
      <w:pPr>
        <w:jc w:val="center"/>
        <w:rPr>
          <w:b/>
          <w:color w:val="000000"/>
        </w:rPr>
      </w:pPr>
    </w:p>
    <w:p w:rsidR="00000000" w:rsidRDefault="00303D50">
      <w:pPr>
        <w:jc w:val="center"/>
        <w:rPr>
          <w:b/>
          <w:color w:val="000000"/>
        </w:rPr>
      </w:pPr>
    </w:p>
    <w:p w:rsidR="00000000" w:rsidRDefault="00303D50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В соответств</w:t>
      </w:r>
      <w:r>
        <w:rPr>
          <w:color w:val="000000"/>
        </w:rPr>
        <w:t xml:space="preserve">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 xml:space="preserve">Постановлением Правительства Российской Федерации от 10 февраля 2017 года № 169 «Об утверждении Правил предоставления </w:t>
      </w:r>
      <w: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hd w:val="clear" w:color="auto" w:fill="FFFFFF"/>
        </w:rPr>
        <w:t xml:space="preserve"> </w:t>
      </w:r>
      <w:r>
        <w:t>Администрация</w:t>
      </w:r>
      <w:r>
        <w:rPr>
          <w:color w:val="000000"/>
        </w:rPr>
        <w:t xml:space="preserve"> Кетовского райо</w:t>
      </w:r>
      <w:r>
        <w:rPr>
          <w:color w:val="000000"/>
        </w:rPr>
        <w:t>на постановляет:</w:t>
      </w:r>
    </w:p>
    <w:p w:rsidR="00000000" w:rsidRDefault="00303D5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bCs/>
          <w:color w:val="000000"/>
        </w:rPr>
        <w:t>порядок предоставления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на 2018 - 2024 годы, </w:t>
      </w:r>
      <w:r>
        <w:rPr>
          <w:color w:val="000000"/>
        </w:rPr>
        <w:t>сог</w:t>
      </w:r>
      <w:r>
        <w:rPr>
          <w:color w:val="000000"/>
        </w:rPr>
        <w:t>ласно приложению</w:t>
      </w:r>
      <w:r>
        <w:rPr>
          <w:rFonts w:eastAsia="Calibri"/>
          <w:color w:val="000000"/>
        </w:rPr>
        <w:t>.</w:t>
      </w:r>
    </w:p>
    <w:p w:rsidR="00000000" w:rsidRDefault="00303D50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Кетовского района.</w:t>
      </w:r>
    </w:p>
    <w:p w:rsidR="00000000" w:rsidRDefault="00303D50">
      <w:pPr>
        <w:pStyle w:val="af2"/>
        <w:numPr>
          <w:ilvl w:val="0"/>
          <w:numId w:val="2"/>
        </w:numPr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общественно-политической газете Кетовского района Курганской области «Собеседник».</w:t>
      </w:r>
    </w:p>
    <w:p w:rsidR="00000000" w:rsidRDefault="00303D50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</w:t>
      </w:r>
      <w:r>
        <w:rPr>
          <w:rFonts w:ascii="Times New Roman" w:hAnsi="Times New Roman" w:cs="Times New Roman"/>
          <w:sz w:val="24"/>
          <w:szCs w:val="24"/>
        </w:rPr>
        <w:t>упает в силу после его официального опубликования.</w:t>
      </w:r>
    </w:p>
    <w:p w:rsidR="00000000" w:rsidRDefault="00303D50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начальника отдела жилищно-коммунального хозяйства и транспорта Администрации Кетовского района. </w:t>
      </w:r>
    </w:p>
    <w:p w:rsidR="00000000" w:rsidRDefault="00303D50">
      <w:pPr>
        <w:ind w:firstLine="709"/>
        <w:jc w:val="both"/>
      </w:pPr>
    </w:p>
    <w:p w:rsidR="00000000" w:rsidRDefault="00303D50">
      <w:pPr>
        <w:ind w:firstLine="709"/>
        <w:jc w:val="both"/>
      </w:pPr>
    </w:p>
    <w:p w:rsidR="00000000" w:rsidRDefault="00303D50">
      <w:pPr>
        <w:jc w:val="both"/>
      </w:pPr>
    </w:p>
    <w:p w:rsidR="00000000" w:rsidRDefault="00303D50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            В.В. Архипов</w:t>
      </w:r>
    </w:p>
    <w:p w:rsidR="00000000" w:rsidRDefault="00303D50"/>
    <w:p w:rsidR="00000000" w:rsidRDefault="00303D50"/>
    <w:p w:rsidR="00000000" w:rsidRDefault="00303D50"/>
    <w:p w:rsidR="00000000" w:rsidRDefault="00303D50"/>
    <w:p w:rsidR="00000000" w:rsidRDefault="00303D50"/>
    <w:p w:rsidR="00000000" w:rsidRDefault="00303D50">
      <w:pPr>
        <w:rPr>
          <w:sz w:val="20"/>
          <w:szCs w:val="20"/>
        </w:rPr>
      </w:pPr>
      <w:r>
        <w:rPr>
          <w:sz w:val="20"/>
          <w:szCs w:val="20"/>
        </w:rPr>
        <w:t>С.С. Субботина</w:t>
      </w:r>
    </w:p>
    <w:p w:rsidR="00000000" w:rsidRDefault="00303D50">
      <w:pPr>
        <w:rPr>
          <w:sz w:val="20"/>
          <w:szCs w:val="20"/>
        </w:rPr>
      </w:pPr>
      <w:r>
        <w:rPr>
          <w:sz w:val="20"/>
          <w:szCs w:val="20"/>
        </w:rPr>
        <w:t xml:space="preserve">8 (35231) 2-39-41 </w:t>
      </w:r>
    </w:p>
    <w:p w:rsidR="00000000" w:rsidRDefault="00303D50">
      <w:r>
        <w:rPr>
          <w:sz w:val="20"/>
          <w:szCs w:val="20"/>
        </w:rPr>
        <w:t>Разослано по списку (см. на обороте)</w:t>
      </w:r>
    </w:p>
    <w:p w:rsidR="00000000" w:rsidRDefault="00BE478B">
      <w:pPr>
        <w:ind w:left="4678"/>
        <w:jc w:val="both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0" simplePos="0" relativeHeight="251657728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ge">
                  <wp:posOffset>581660</wp:posOffset>
                </wp:positionV>
                <wp:extent cx="2858135" cy="1363980"/>
                <wp:effectExtent l="8255" t="635" r="63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36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2"/>
                            </w:tblGrid>
                            <w:tr w:rsidR="00000000">
                              <w:trPr>
                                <w:trHeight w:val="2149"/>
                              </w:trPr>
                              <w:tc>
                                <w:tcPr>
                                  <w:tcW w:w="4502" w:type="dxa"/>
                                  <w:shd w:val="clear" w:color="auto" w:fill="auto"/>
                                </w:tcPr>
                                <w:p w:rsidR="00000000" w:rsidRDefault="00303D50">
                                  <w:pPr>
                                    <w:pStyle w:val="af1"/>
                                    <w:shd w:val="clear" w:color="auto" w:fill="FFFFFF"/>
                                    <w:spacing w:before="0" w:after="0"/>
                                    <w:ind w:left="14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Приложение к постановлению Администрации Кетовского района № 631 от 18.04.2019 г. «О внесении изменений в постановление Администрации Кетовского района от 02 апреля 2018 года № 596 «Об утверждении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порядка пред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на 2018 - 2022 годы»</w:t>
                                  </w:r>
                                </w:p>
                                <w:p w:rsidR="00000000" w:rsidRDefault="00303D50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03D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5pt;margin-top:45.8pt;width:225.05pt;height:107.4pt;z-index:25165772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02"/>
                      </w:tblGrid>
                      <w:tr w:rsidR="00000000">
                        <w:trPr>
                          <w:trHeight w:val="2149"/>
                        </w:trPr>
                        <w:tc>
                          <w:tcPr>
                            <w:tcW w:w="4502" w:type="dxa"/>
                            <w:shd w:val="clear" w:color="auto" w:fill="auto"/>
                          </w:tcPr>
                          <w:p w:rsidR="00000000" w:rsidRDefault="00303D50">
                            <w:pPr>
                              <w:pStyle w:val="af1"/>
                              <w:shd w:val="clear" w:color="auto" w:fill="FFFFFF"/>
                              <w:spacing w:before="0" w:after="0"/>
                              <w:ind w:left="1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Приложение к постановлению Администрации Кетовского района № 631 от 18.04.2019 г. «О внесении изменений в постановление Администрации Кетовского района от 02 апреля 2018 года № 596 «Об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порядка пред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оставления и расходования субсидий, выделяемых из бюджета Кетовского района бюджетам сельских поселений на реализацию мероприятий муниципальных программ формирования комфортной городской среды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на 2018 - 2022 годы»</w:t>
                            </w:r>
                          </w:p>
                          <w:p w:rsidR="00000000" w:rsidRDefault="00303D5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303D50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0000" w:rsidRDefault="00303D50">
      <w:pPr>
        <w:pStyle w:val="af1"/>
        <w:shd w:val="clear" w:color="auto" w:fill="FFFFFF"/>
        <w:spacing w:before="0" w:after="0"/>
        <w:ind w:left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предоставления и расходования субсидий, выделяемых из бюджета Кетовского района бюджетам сельских поселений на реализацию мероприятий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 программ формирования комфортной городской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2018 - 2024 годы</w:t>
      </w:r>
    </w:p>
    <w:p w:rsidR="00000000" w:rsidRDefault="00303D50">
      <w:pPr>
        <w:pStyle w:val="af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Настоящий Порядок предоставления и расходования субсидий, выделяемых из  бюджета Кетовского района бюджетам сельских поселений на реализацию мероприятий муниципальных программ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ирования комфортной городской среды на 2018 - 2024 годы (далее соответственно - Порядок, субсидии), определяет порядок, цели и условия предоставления и расходования субсидий бюджетам муниципальных образований Кетовского района Курганской области (далее –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юджеты сельских поселений), критерии отбора муниципальных образований Кетовского района Курганской области в целях финансирования муниципальных программ формирования комфортной городской среды на 2018 - 2024 годы (далее - муниципальные программы), направле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на реализацию мероприятий по благоустройству территорий муниципальных образований Кетовского района Курганской области, в том числе общественных территорий, дворовых территорий, созданию (восстановлению, реконструкции) объектов централизованной (нецен</w:t>
      </w:r>
      <w:r>
        <w:rPr>
          <w:rFonts w:ascii="Times New Roman" w:hAnsi="Times New Roman" w:cs="Times New Roman"/>
          <w:color w:val="000000"/>
          <w:sz w:val="24"/>
          <w:szCs w:val="24"/>
        </w:rPr>
        <w:t>трализованной) системы холодного водоснабжения сельских населенных пунктов Кетовского района Курганской области.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Критерием отбора муниципальных образований Кетовского района Курганской области для предоставления субсидии является статус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Кетовского района Курганской области, являющегося получателем субсидии (сельское поселение, в состав которого входят населенные пункты с численностью населения свыше 1000 человек).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приоритетном порядке субсидии предоставляются 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образованиям Курганской области, в муниципальные программы которых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в целях обеспечения привлекательности территории для разных групп населения.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Условиями предоставления субсидий являются:</w:t>
      </w:r>
      <w:bookmarkStart w:id="1" w:name="Par23"/>
      <w:bookmarkEnd w:id="1"/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завершение в полном объеме реализации мероприятий муниципальных программ формирования современной городской среды за 2</w:t>
      </w:r>
      <w:r>
        <w:rPr>
          <w:rFonts w:ascii="Times New Roman" w:hAnsi="Times New Roman" w:cs="Times New Roman"/>
          <w:color w:val="000000"/>
          <w:sz w:val="24"/>
          <w:szCs w:val="24"/>
        </w:rPr>
        <w:t>018 год;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наличие муниципальной программы, соответствующей требованиям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ерации и муниципальных программ формирования современной городской среды, утвержденных постановлением Правительства Российской Федерации от 30 декабря 2017 года № 1710 «Об утверждении государственной программы Российской Федерации «Обеспечение доступным 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комфортным жильем и коммунальными услугами граждан Российской Федерации» (с учетом изменений в приложение № 15 к указанной государственной программе в редакции постановления Правительства Российской Федерации от 9 февраля 2019 г. № 106)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направленной на ре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ализацию следующих мероприятий: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-выполнение работ по благоустройству дворовых территорий в соответствии с минимальным и дополнительным перечнями видов работ по благоустройству дворовых территорий, </w:t>
      </w:r>
      <w:r>
        <w:rPr>
          <w:rFonts w:ascii="Times New Roman" w:hAnsi="Times New Roman" w:cs="Times New Roman"/>
          <w:color w:val="auto"/>
          <w:sz w:val="24"/>
          <w:szCs w:val="24"/>
        </w:rPr>
        <w:t>указанными в государственной программе Курганской области «</w:t>
      </w:r>
      <w:r>
        <w:rPr>
          <w:rFonts w:ascii="Times New Roman" w:hAnsi="Times New Roman" w:cs="Times New Roman"/>
          <w:color w:val="auto"/>
          <w:sz w:val="24"/>
          <w:szCs w:val="24"/>
        </w:rPr>
        <w:t>Формирование комфортной городской среды» на 2018 - 2022 годы;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-выполнение работ по благоустройству общественных территорий, отобранных по результатам общественных обсуждений в порядке, установленном органом местного самоуправления;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-выполнение работ по соз</w:t>
      </w:r>
      <w:r>
        <w:rPr>
          <w:rFonts w:ascii="Times New Roman" w:hAnsi="Times New Roman" w:cs="Times New Roman"/>
          <w:color w:val="000000"/>
          <w:sz w:val="24"/>
          <w:szCs w:val="24"/>
        </w:rPr>
        <w:t>данию (восстановлению, реконструкции) объектов централизованной (нецентрализованной) системы холодного водоснабжения сельских населенных пунктов Кетовского района Курганской области.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наличие в нормативных правовых актах представительных органов 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 образований Кетовского района Курганской области о местных бюджетах бюджетных ассигнований на исполнение в очередном финансовом году и плановом периоде расходных обязательств муниципальных образований Кетовского района Курганской области, связанных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мероприятий, в объеме не менее 10 % от объема субсидии (по согласованию);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привлечение органами местного самоуправления средств из внебюджетных источников (финансовое участие собственников помещений в многоквартирных домах, собственников ины</w:t>
      </w:r>
      <w:r>
        <w:rPr>
          <w:rFonts w:ascii="Times New Roman" w:hAnsi="Times New Roman" w:cs="Times New Roman"/>
          <w:color w:val="000000"/>
          <w:sz w:val="24"/>
          <w:szCs w:val="24"/>
        </w:rPr>
        <w:t>х зданий и сооружений, расположенных в границах дворовых территорий, подлежащих благоустройству (далее – заинтересованные лица)) на выполнение работ по благоустройству дворовых территорий в соответствии с дополнительным перечнем видов работ по благоустройс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 дворовых территорий, указанным в государственной программе Курганской области «Формирование комфортной городской среды» на 2018 - 2022 годы, в объеме не менее 15 % от сметной стоимости работ. Условие софинансирования собственниками помещений многокварт</w:t>
      </w:r>
      <w:r>
        <w:rPr>
          <w:rFonts w:ascii="Times New Roman" w:hAnsi="Times New Roman" w:cs="Times New Roman"/>
          <w:color w:val="000000"/>
          <w:sz w:val="24"/>
          <w:szCs w:val="24"/>
        </w:rPr>
        <w:t>ирного дома дополнительного вида работ по благоустройству дворовых территорий в размере не менее 20 % стоимости выполнения таких работ распространяется на дворовые территории, включенные в муниципальную программу после вступления в силу постановления Прави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наличие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 на ведение строительного контроля за реализацией мероприятий, направленных на формирование современной городской среды;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обеспечение проверки сметной стоимости мероприятий по благоустройству дворовых территорий и общественных территорий в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ипальных образованиях, определенной с обязательным применением сметных нормативов, внесенных в федеральный реестр сметных нормативов и сметных цен строительных ресурсов Министерства строительства и жилищно-коммунального хозяйства Российской Федерации;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аключение соглашения между Администрацией Кетовского района Курганской области (далее - Администрация) и органом местного самоуправления муниципального образования Кетовского района Курганской области (далее - орган местного самоуправления) о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 субсидии, в котором указываются размер субсидии, срок перечисления субсидии, порядок расходования средств субсидии муниципальным образованием Курганской области, обязательства муниципального образования Курганской области по реализации муниципальных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рамм, показатели результативности использования субсидии, порядок взаимодействия сторон по осуществлению контроля за расходованием субсидии, порядок и условия возврата субсидии из местного бюджета в областной бюджет, рекомендации главам местных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ий обеспечить привлечение к выполнению работ по благоустройству дворовых территорий студенческих строительных отрядов (далее — соглашение).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В соглашении устанавливаются следующие обязательства муниципального образования Кетовского района Курганской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 - получателя субсидии: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 обеспечить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</w:t>
      </w:r>
      <w:r>
        <w:rPr>
          <w:rFonts w:ascii="Times New Roman" w:hAnsi="Times New Roman" w:cs="Times New Roman"/>
          <w:color w:val="000000"/>
          <w:sz w:val="24"/>
          <w:szCs w:val="24"/>
        </w:rPr>
        <w:t>ий;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 обеспечить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 обеспечить осуществление контроля за ходом выполнения муниципальной программы общественной комиссией, созданной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10 февраля 2017 года № 169 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подготовить и утвердить с учетом обсуждения с представителями заинтересованных лиц дизай</w:t>
      </w:r>
      <w:r>
        <w:rPr>
          <w:rFonts w:ascii="Times New Roman" w:hAnsi="Times New Roman" w:cs="Times New Roman"/>
          <w:color w:val="000000"/>
          <w:sz w:val="24"/>
          <w:szCs w:val="24"/>
        </w:rPr>
        <w:t>н-проект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 благоустройства общественной территории. В указанные дизайн-проекты включаются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обеспечить синхронизацию реализации мероприятий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амках муниципальных программ с реализуемыми в муниципальных образованиях Курганской области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>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</w:t>
      </w:r>
      <w:r>
        <w:rPr>
          <w:rFonts w:ascii="Times New Roman" w:hAnsi="Times New Roman" w:cs="Times New Roman"/>
          <w:color w:val="000000"/>
          <w:sz w:val="24"/>
          <w:szCs w:val="24"/>
        </w:rPr>
        <w:t>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обеспечить проведение мероприятий по благоустройст</w:t>
      </w:r>
      <w:r>
        <w:rPr>
          <w:rFonts w:ascii="Times New Roman" w:hAnsi="Times New Roman" w:cs="Times New Roman"/>
          <w:color w:val="000000"/>
          <w:sz w:val="24"/>
          <w:szCs w:val="24"/>
        </w:rPr>
        <w:t>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обе</w:t>
      </w:r>
      <w:r>
        <w:rPr>
          <w:rFonts w:ascii="Times New Roman" w:hAnsi="Times New Roman" w:cs="Times New Roman"/>
          <w:color w:val="000000"/>
          <w:sz w:val="24"/>
          <w:szCs w:val="24"/>
        </w:rPr>
        <w:t>спечить установление в муниципальных программах условия об обязательном установлении минимального трехлетнего гарантийного срока на результаты выполненных работ по благоустройству дворовых и общественных территорий, а также условия о дате заключения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пальных контрактов в целях реализации муниципальных программ с 1 мая 2019 года,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закупок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оваров, работ, услуг в порядке, установленном законодательством Российской Федерации, при которых срок заключения таких соглашений (контрактов) продлевается на срок указанного обжалования. 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обеспечить осуществление контроля за ходом выполнения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ьной программы муниципальной общественной комиссией. 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 Для участия в отборе для предоставления субсидий органы местного самоуправления представляют в срок </w:t>
      </w:r>
      <w:r>
        <w:rPr>
          <w:rFonts w:ascii="Times New Roman" w:hAnsi="Times New Roman" w:cs="Times New Roman"/>
          <w:color w:val="auto"/>
          <w:sz w:val="24"/>
          <w:szCs w:val="24"/>
        </w:rPr>
        <w:t>до 27 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заявление о предоставлении субсидии (далее - заявление) с указанием з</w:t>
      </w:r>
      <w:r>
        <w:rPr>
          <w:rFonts w:ascii="Times New Roman" w:hAnsi="Times New Roman" w:cs="Times New Roman"/>
          <w:color w:val="000000"/>
          <w:sz w:val="24"/>
          <w:szCs w:val="24"/>
        </w:rPr>
        <w:t>апрашиваемого размера субсидии и следующие документы: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копии нормативного правового акта об утверждении муниципальной программы с указанием перечня дворовых территорий, общественных территорий, подлежащих благоустройству, а также объектов централизованно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(нецентрализованной) системы холодного водоснабжения сельских населенных пунктов Курганской области, подлежащих созданию (восстановлению, реконструкции) с использованием средств субсидии;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2)заверенной в установленном порядке выписки из решения органа 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тного самоуправления о местном бюджете, подтверждающей наличие расходных обязательств органа местного самоуправления по осуществлению софинансирования мероприятий, указанных в подпункте 2 пункта 4 Порядка;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3)сметные расчеты на выполнение мероприятий, указа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в подпункте 2 пункта 4 Порядка;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4)проектную документацию на выполнение мероприятий, указанных в подпункте 2 пункта 4 Порядка;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5)копию протокола (копии протоколов — в случае, если дворовая территория объединяет два и более многоквартирных дома 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о финансовом участии принято собственниками помещений в двух и более многоквартирных домах) общего собрания собственников помещений в многоквартирном доме и (или) копию решения собственников иных зданий и сооружений, расположенных в границах дворовых тер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риторий, подлежащих благоустройству, содержащего (содержащих) решение (решения) о финансовом участии заинтересованных лиц в выполнении работ по благоустройству дворовых территорий в соответствии с дополнительным перечнем видов работ по благоустройству двор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овых территорий, указанным в приложении </w:t>
      </w:r>
      <w:r>
        <w:rPr>
          <w:rFonts w:ascii="Times New Roman" w:hAnsi="Times New Roman" w:cs="Times New Roman"/>
          <w:color w:val="auto"/>
          <w:sz w:val="24"/>
          <w:szCs w:val="24"/>
        </w:rPr>
        <w:t>2 к государственной программе Курганской области «Формирование комфортной городской среды» на 2018 - 2022 годы,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не менее 15 % от сметной стоимости работ (не менее 20% в случае включения в муниципальную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амму дворовых территорий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коммунальными услугами граждан Российской Федерации»).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 Субсидии распределяются в соответствии с утвержденным размером субсидии, выделяемой из областного бюджета на реализацию мероприятий муниципальных программ формирования комфортной городской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2018-2024 годы, между муниципальными образованиями Кетовского района Курганской области в соответствии с подавшими в установленные сроки заявлениями с приложением перечня документов, указанного в пункте 6 Порядка, а также имеющими статус, указанный в 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ункте 2 Порядка, в следующем порядке: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Пропорционально численности населения в населенных пунктах, участвующих в программе; 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В случае необходимости увеличения или уменьшения размера субсидии - по согласованию сторон.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 Администрация  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 26 апр</w:t>
      </w:r>
      <w:r>
        <w:rPr>
          <w:rFonts w:ascii="Times New Roman" w:hAnsi="Times New Roman" w:cs="Times New Roman"/>
          <w:color w:val="auto"/>
          <w:sz w:val="24"/>
          <w:szCs w:val="24"/>
        </w:rPr>
        <w:t>еля: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предоставлении субсидии или об отказе в предоставлении субсидии (с указанием причин отказа);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направляет в органы местного самоуправления уведомления о предоставлении или об отказе в предоставлении субсидии;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товку проекта постановления Администрации Кетовского района Курганской области о распределении субсидий между муниципальными образованиями Кетовского района Курганской области.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Основанием для отказа в предоставлении субсидии является несоответствие 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Кетовского района Курганской области критерию отбора,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указанному в пункте 2 Порядка, и (или) условиям предоставления субсидии, указанным в пункте 4 Порядка.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После принятия Администрацией Кетовского района постановления о распреде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лении субсидий между муниципальными образованиями Кетовского района Курганской области Администрация в течение 10 рабочих дней заключает с органами местного самоуправления соглашения. 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Субсидии предоставляются в пределах бюджетных ассигнований, предусм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отренных в районном бюджете на соответствующий финансовый год, и лимитов бюджетных обязательств, утвержденных в установленном порядке Администрации на реализацию мероприятий </w:t>
      </w:r>
      <w:r>
        <w:rPr>
          <w:rFonts w:ascii="Times New Roman" w:hAnsi="Times New Roman" w:cs="Times New Roman"/>
          <w:color w:val="auto"/>
          <w:sz w:val="24"/>
          <w:szCs w:val="24"/>
        </w:rPr>
        <w:t>государственной программы Курганской области «Формирование комфортной городской ср</w:t>
      </w:r>
      <w:r>
        <w:rPr>
          <w:rFonts w:ascii="Times New Roman" w:hAnsi="Times New Roman" w:cs="Times New Roman"/>
          <w:color w:val="auto"/>
          <w:sz w:val="24"/>
          <w:szCs w:val="24"/>
        </w:rPr>
        <w:t>еды» на 2018 - 2022 годы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 — бюджетные ассигнования областного бюджета).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Перечисление субсидий в местные бюджеты осуществляется на счета территориальных органов Федерального казначейства, открытые для кассового обслуживания исполнения местных бюджето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перечисления субсидии в местные бюджеты органы местного самоуправления представляют в Администрацию справки о стоимости выполненных работ и затрат, копии муниципальных контрактов и (или) договоров (соглашений) о предоставлении субсидий, заключенных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выполнения мероприятий, указанных в подпункте 2 пункта 4 Порядка, копии договоров об осуществлении строительного контроля.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об использовании субсидий отражаются финансовыми органами местного самоуправления в отчете об исполнении местного бюдж</w:t>
      </w:r>
      <w:r>
        <w:rPr>
          <w:rFonts w:ascii="Times New Roman" w:hAnsi="Times New Roman" w:cs="Times New Roman"/>
          <w:color w:val="000000"/>
          <w:sz w:val="24"/>
          <w:szCs w:val="24"/>
        </w:rPr>
        <w:t>ета по соответствующим разделам и кодам бюджетной классификации Российской Федерации.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Администрация: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-формирует и представляет в Департамент строительства, госэкспертизы и ЖКХ Курганской области (по согласованию) заявку на перечисление средств су</w:t>
      </w:r>
      <w:r>
        <w:rPr>
          <w:rFonts w:ascii="Times New Roman" w:hAnsi="Times New Roman" w:cs="Times New Roman"/>
          <w:color w:val="000000"/>
          <w:sz w:val="24"/>
          <w:szCs w:val="24"/>
        </w:rPr>
        <w:t>бсидий по каждому муниципальному образованию Кетовского района Курганской области в объеме фактически выполненных работ в течение десяти рабочих дней со дня предоставления органами местного самоуправления в Администрацию документов, указанных в абзаце трет</w:t>
      </w:r>
      <w:r>
        <w:rPr>
          <w:rFonts w:ascii="Times New Roman" w:hAnsi="Times New Roman" w:cs="Times New Roman"/>
          <w:color w:val="000000"/>
          <w:sz w:val="24"/>
          <w:szCs w:val="24"/>
        </w:rPr>
        <w:t>ьем пункта 11 Порядка;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-не позднее пяти 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субсидий на лицевой счет Администрации осуществляет перечисление средств субсидий бюджетам местных поселений.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Расходование средств субсидий, направляемых на выполнение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дворовых территорий, осуществляется путем: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предоставления субсидий бюджетным и автономным учреждениям, включая субсидии на финансовое обеспечение выполнения ими муниципального задания;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закупки товаров, работ и услуг для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учреждений);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 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выполнению работ по благоустройству дворовых территорий (в случае, если дворовая территория образована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земельными участками, находящимися полностью или частично в частной собственности).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Субсидии носят целевой характер и не могут быть использованы на другие цели. Органы местного самоуправления несут ответственность за целевое использование субсидий, 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стоверность представляемых в соответствии с Порядком сведений и документов. В случае использования субсидий не по целевому назначению указанные средства взыскиваются в районный бюджет в порядке, установленном действующим законодательством.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 Органы местн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самоуправления представляют в Администрацию отчет об использовании субсидии в сроки и по форме, утверждаемые Департаментом строительства, госэкспертизы и ЖКХ Курганской области (по согласованию).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 Контроль за целевым использованием субсидий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ляют Администрация и Финансовый отдел Администрации Кетовского района.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Условием осуществления перераспределения субсидий между муниципальными образованиями Кетовского района Курганской области является наличие бюджетных ассигнований бюджета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района, не распределенных между муниципальными образованиями Кетовского района Курганской области.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 Администрация осуществляет перераспределение субсидий между муниципальными образованиями Кетовского района Курганской области (по согласованию),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нии которых принято решение о предоставлении субсидии в соответствии пунктом 7 Порядка.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 В случае нарушения условий предоставления субсидий, установленных Порядком, Администрация в течение 30 дней со дня выявления нарушения направляет получателю субсиди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и письменное требование о возврате средств субсидии. Получатель субсидии в течение 10 дней со дня получения письменного требования о возврате средств субсидии перечисляет указанные средства на счет Администрации.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олнения требования о возврате средств субсидии средства взыскиваются в соответствии с законодательством Российской Федерации.</w:t>
      </w:r>
    </w:p>
    <w:p w:rsidR="00000000" w:rsidRDefault="00303D50">
      <w:pPr>
        <w:pStyle w:val="af1"/>
        <w:shd w:val="clear" w:color="auto" w:fill="FFFFFF"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 использованные по состоянию на 1 января текущего года остатки субсидии подлежат возврату в районный бюджет в соответствии с 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ствующим законодательством.</w:t>
      </w:r>
    </w:p>
    <w:p w:rsidR="00000000" w:rsidRDefault="00303D50">
      <w:pPr>
        <w:ind w:firstLine="709"/>
        <w:jc w:val="both"/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000000" w:rsidRDefault="00303D50">
      <w:pPr>
        <w:tabs>
          <w:tab w:val="left" w:pos="1560"/>
        </w:tabs>
      </w:pPr>
    </w:p>
    <w:p w:rsidR="00303D50" w:rsidRDefault="00303D50">
      <w:pPr>
        <w:tabs>
          <w:tab w:val="left" w:pos="1560"/>
        </w:tabs>
      </w:pPr>
    </w:p>
    <w:sectPr w:rsidR="00303D50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255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B"/>
    <w:rsid w:val="00303D50"/>
    <w:rsid w:val="00B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eastAsia="Calibri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7">
    <w:name w:val="FollowedHyperlink"/>
    <w:basedOn w:val="10"/>
    <w:rPr>
      <w:color w:val="800080"/>
      <w:u w:val="single"/>
    </w:rPr>
  </w:style>
  <w:style w:type="character" w:styleId="a8">
    <w:name w:val="Strong"/>
    <w:basedOn w:val="10"/>
    <w:qFormat/>
    <w:rPr>
      <w:b/>
      <w:bCs/>
    </w:rPr>
  </w:style>
  <w:style w:type="character" w:customStyle="1" w:styleId="a9">
    <w:name w:val="Верхний колонтитул Знак"/>
    <w:basedOn w:val="10"/>
    <w:rPr>
      <w:sz w:val="24"/>
      <w:szCs w:val="24"/>
    </w:rPr>
  </w:style>
  <w:style w:type="character" w:customStyle="1" w:styleId="aa">
    <w:name w:val="Нижний колонтитул Знак"/>
    <w:basedOn w:val="10"/>
    <w:rPr>
      <w:sz w:val="24"/>
      <w:szCs w:val="24"/>
    </w:rPr>
  </w:style>
  <w:style w:type="character" w:customStyle="1" w:styleId="ab">
    <w:name w:val="Основной текст Знак"/>
    <w:basedOn w:val="10"/>
    <w:rPr>
      <w:sz w:val="24"/>
      <w:szCs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center"/>
    </w:pPr>
  </w:style>
  <w:style w:type="paragraph" w:styleId="ae">
    <w:name w:val="List"/>
    <w:basedOn w:val="ad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f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af4">
    <w:name w:val="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d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eastAsia="Calibri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7">
    <w:name w:val="FollowedHyperlink"/>
    <w:basedOn w:val="10"/>
    <w:rPr>
      <w:color w:val="800080"/>
      <w:u w:val="single"/>
    </w:rPr>
  </w:style>
  <w:style w:type="character" w:styleId="a8">
    <w:name w:val="Strong"/>
    <w:basedOn w:val="10"/>
    <w:qFormat/>
    <w:rPr>
      <w:b/>
      <w:bCs/>
    </w:rPr>
  </w:style>
  <w:style w:type="character" w:customStyle="1" w:styleId="a9">
    <w:name w:val="Верхний колонтитул Знак"/>
    <w:basedOn w:val="10"/>
    <w:rPr>
      <w:sz w:val="24"/>
      <w:szCs w:val="24"/>
    </w:rPr>
  </w:style>
  <w:style w:type="character" w:customStyle="1" w:styleId="aa">
    <w:name w:val="Нижний колонтитул Знак"/>
    <w:basedOn w:val="10"/>
    <w:rPr>
      <w:sz w:val="24"/>
      <w:szCs w:val="24"/>
    </w:rPr>
  </w:style>
  <w:style w:type="character" w:customStyle="1" w:styleId="ab">
    <w:name w:val="Основной текст Знак"/>
    <w:basedOn w:val="10"/>
    <w:rPr>
      <w:sz w:val="24"/>
      <w:szCs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center"/>
    </w:pPr>
  </w:style>
  <w:style w:type="paragraph" w:styleId="ae">
    <w:name w:val="List"/>
    <w:basedOn w:val="ad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f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af4">
    <w:name w:val="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">
    <w:name w:val="formattext"/>
    <w:basedOn w:val="a"/>
    <w:pPr>
      <w:spacing w:before="280" w:after="280"/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d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2018-04-03T05:57:00Z</cp:lastPrinted>
  <dcterms:created xsi:type="dcterms:W3CDTF">2019-10-09T10:28:00Z</dcterms:created>
  <dcterms:modified xsi:type="dcterms:W3CDTF">2019-10-09T10:28:00Z</dcterms:modified>
</cp:coreProperties>
</file>