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66" w:rsidRPr="00B92166" w:rsidRDefault="00B92166" w:rsidP="00B92166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2166">
        <w:rPr>
          <w:rFonts w:ascii="Times New Roman" w:hAnsi="Times New Roman" w:cs="Times New Roman"/>
          <w:b/>
        </w:rPr>
        <w:t>РОССИЙСКАЯ ФЕДЕРАЦИЯ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B92166" w:rsidRPr="009E6F42" w:rsidRDefault="00B92166" w:rsidP="00B92166">
      <w:pPr>
        <w:pStyle w:val="af6"/>
        <w:jc w:val="center"/>
        <w:rPr>
          <w:b/>
          <w:bCs/>
        </w:rPr>
      </w:pPr>
      <w:r w:rsidRPr="009E6F42">
        <w:rPr>
          <w:b/>
          <w:bCs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ПОСТАНОВЛЕНИ</w:t>
      </w:r>
      <w:r>
        <w:rPr>
          <w:rFonts w:ascii="Times New Roman" w:hAnsi="Times New Roman"/>
          <w:b/>
          <w:bCs/>
          <w:sz w:val="24"/>
        </w:rPr>
        <w:t>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7 марта </w:t>
      </w:r>
      <w:r w:rsidRPr="00BA4EAD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 г.  № 314</w:t>
      </w:r>
    </w:p>
    <w:p w:rsidR="00B92166" w:rsidRPr="00B92166" w:rsidRDefault="00B92166" w:rsidP="00B92166">
      <w:pPr>
        <w:pStyle w:val="1"/>
        <w:spacing w:before="0"/>
        <w:rPr>
          <w:b w:val="0"/>
          <w:sz w:val="20"/>
          <w:szCs w:val="20"/>
        </w:rPr>
      </w:pPr>
      <w:r w:rsidRPr="00B92166">
        <w:rPr>
          <w:b w:val="0"/>
        </w:rPr>
        <w:t xml:space="preserve">  </w:t>
      </w:r>
      <w:r w:rsidRPr="00B92166">
        <w:rPr>
          <w:b w:val="0"/>
          <w:sz w:val="20"/>
          <w:szCs w:val="20"/>
        </w:rPr>
        <w:t>с. Кетово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B92166" w:rsidRDefault="00B92166" w:rsidP="00B92166">
      <w:pPr>
        <w:pStyle w:val="af7"/>
        <w:jc w:val="center"/>
        <w:rPr>
          <w:rFonts w:ascii="Times New Roman" w:hAnsi="Times New Roman"/>
          <w:sz w:val="24"/>
        </w:rPr>
      </w:pPr>
      <w:r w:rsidRPr="00B92166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 программы Кетовского района Курганской области «Развитие образования и реализация государственной молодежной политики» на 2016-2020 годы»</w:t>
      </w:r>
    </w:p>
    <w:p w:rsidR="00B92166" w:rsidRPr="0006507D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ED1371" w:rsidRDefault="00B92166" w:rsidP="00B92166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и мероприятий муниципальной программы Кетовского района «Развитие образования и реализация государственной молодежной политики» </w:t>
      </w:r>
      <w:r w:rsidRPr="00ED1371">
        <w:rPr>
          <w:rFonts w:ascii="Times New Roman" w:hAnsi="Times New Roman"/>
          <w:bCs/>
          <w:sz w:val="24"/>
        </w:rPr>
        <w:t>на 2016-2020 годы»</w:t>
      </w:r>
      <w:r w:rsidRPr="00ED1371">
        <w:rPr>
          <w:rFonts w:ascii="Times New Roman" w:hAnsi="Times New Roman"/>
          <w:sz w:val="24"/>
        </w:rPr>
        <w:t xml:space="preserve"> Администрация Кетовского района ПОСТАНОВЛЯЕТ:</w:t>
      </w:r>
    </w:p>
    <w:p w:rsidR="00B92166" w:rsidRPr="00ED1371" w:rsidRDefault="00B92166" w:rsidP="00B92166">
      <w:pPr>
        <w:pStyle w:val="afc"/>
        <w:ind w:firstLine="708"/>
        <w:jc w:val="both"/>
        <w:rPr>
          <w:rFonts w:ascii="Times New Roman" w:eastAsia="Arial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 xml:space="preserve">от 24 декабря  2015 года № 2462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eastAsia="Calibri" w:hAnsi="Times New Roman"/>
          <w:sz w:val="24"/>
          <w:szCs w:val="24"/>
        </w:rPr>
        <w:t xml:space="preserve">»,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B92166" w:rsidRDefault="00B92166" w:rsidP="00B9216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Кетовского района Курганской области «Собеседник»,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92166" w:rsidRDefault="00B92166" w:rsidP="00B9216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92166" w:rsidRPr="00ED1371" w:rsidRDefault="00B92166" w:rsidP="00B92166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первого заместителя Главы Кетовского района по социальной политике.</w:t>
      </w:r>
    </w:p>
    <w:p w:rsidR="00B92166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Архипов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661A0B" w:rsidRDefault="00B92166" w:rsidP="00B92166">
      <w:pPr>
        <w:pStyle w:val="afc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Лютый Н.Ю.</w:t>
      </w:r>
    </w:p>
    <w:p w:rsidR="00B92166" w:rsidRPr="00661A0B" w:rsidRDefault="00B92166" w:rsidP="00B92166">
      <w:pPr>
        <w:pStyle w:val="afc"/>
        <w:jc w:val="both"/>
        <w:rPr>
          <w:rFonts w:ascii="Times New Roman" w:hAnsi="Times New Roman"/>
          <w:sz w:val="20"/>
          <w:szCs w:val="20"/>
        </w:rPr>
      </w:pPr>
      <w:r w:rsidRPr="00661A0B">
        <w:rPr>
          <w:rFonts w:ascii="Times New Roman" w:hAnsi="Times New Roman"/>
          <w:sz w:val="20"/>
          <w:szCs w:val="20"/>
        </w:rPr>
        <w:t xml:space="preserve"> 3-82-</w:t>
      </w:r>
      <w:r>
        <w:rPr>
          <w:rFonts w:ascii="Times New Roman" w:hAnsi="Times New Roman"/>
          <w:sz w:val="20"/>
          <w:szCs w:val="20"/>
        </w:rPr>
        <w:t>94</w:t>
      </w: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  <w:r w:rsidRPr="00ED1371">
        <w:rPr>
          <w:rFonts w:ascii="Times New Roman" w:hAnsi="Times New Roman"/>
          <w:b/>
          <w:bCs/>
          <w:sz w:val="24"/>
        </w:rPr>
        <w:t>на 2016-2020 годы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 района Курганской области «Развитие образования и реализация государственной молодежной политики» на 2016-2020 годы (далее –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         (далее –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ED137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«Развитие общего образования»;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Курганской области»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повышение эффективности реализации молодежной политики в Кетовском районе Курганской области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      </w:r>
          </w:p>
          <w:p w:rsidR="002D4649" w:rsidRPr="00ED1371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населения в возрасте от 5 до18 лет, охваченного общим  образованием, в общей численности населения в возрасте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 худшими результатами единого государственного экзамена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муниципальных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 в общей численности обучающихся  муниципальных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молодых людей в возрасте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rPr>
                <w:rFonts w:ascii="Times New Roman" w:hAnsi="Times New Roman"/>
                <w:sz w:val="24"/>
                <w:lang w:val="en-US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2016-2020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программы на 2016-2020 годы: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районного бюджета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1580011,2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2016 год  – 2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36841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296792,4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385453,8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368009,5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292914,5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областного бюджета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2596391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2016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353140,6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356695,8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</w:t>
            </w:r>
            <w:r w:rsidRPr="00835CE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426598,7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665841,8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835CEC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794114,1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      </w:r>
          </w:p>
          <w:p w:rsidR="00F8499C" w:rsidRPr="00ED1371" w:rsidRDefault="00F8499C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F8499C" w:rsidRPr="00ED1371" w:rsidRDefault="00F8499C" w:rsidP="00393E44">
            <w:pPr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создание современных условий реализации образовательных программ;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о</w:t>
            </w: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беспечение доступности качественного образования для лиц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ED1371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и закрепление молодых специалистов в системе образования Кетовск</w:t>
            </w:r>
            <w:r w:rsidR="005639F3"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го района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ED1371" w:rsidRDefault="00F8499C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2"/>
                <w:sz w:val="24"/>
              </w:rPr>
              <w:t>в</w:t>
            </w:r>
            <w:r w:rsidRPr="00ED1371">
              <w:rPr>
                <w:rStyle w:val="31"/>
                <w:rFonts w:ascii="Times New Roman" w:hAnsi="Times New Roman"/>
                <w:color w:val="000000"/>
                <w:spacing w:val="-2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ED1371" w:rsidRDefault="00F8499C" w:rsidP="00F8499C">
      <w:pPr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1B5DCA" w:rsidRPr="00ED1371" w:rsidRDefault="00F8499C" w:rsidP="00F8499C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     </w:t>
      </w:r>
      <w:r w:rsidR="00393E44">
        <w:rPr>
          <w:rFonts w:ascii="Times New Roman" w:hAnsi="Times New Roman"/>
          <w:b/>
          <w:bCs/>
          <w:sz w:val="24"/>
        </w:rPr>
        <w:tab/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1. Текущее состояние сферы общего образования.</w:t>
      </w:r>
    </w:p>
    <w:p w:rsidR="001B5DCA" w:rsidRPr="00ED1371" w:rsidRDefault="00F8499C" w:rsidP="00F8499C">
      <w:pPr>
        <w:pStyle w:val="a1"/>
        <w:spacing w:after="0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     </w:t>
      </w:r>
      <w:r w:rsidR="00393E44">
        <w:rPr>
          <w:rFonts w:ascii="Times New Roman" w:hAnsi="Times New Roman"/>
          <w:sz w:val="24"/>
          <w:lang w:val="ru-RU"/>
        </w:rPr>
        <w:tab/>
      </w:r>
      <w:r w:rsidR="001B5DCA" w:rsidRPr="00ED137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ED1371">
        <w:rPr>
          <w:rFonts w:ascii="Times New Roman" w:eastAsia="Arial" w:hAnsi="Times New Roman"/>
          <w:color w:val="800000"/>
          <w:spacing w:val="-4"/>
          <w:sz w:val="24"/>
        </w:rPr>
        <w:t xml:space="preserve">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 xml:space="preserve"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 численность обучающихся – 5375. человек.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Доля школьников, обучающихся по федеральному государственному образовательному стандарту начального общего образования, к общей численности 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</w:t>
      </w:r>
      <w:r w:rsidR="00393E44">
        <w:rPr>
          <w:rFonts w:ascii="Times New Roman" w:eastAsia="Arial" w:hAnsi="Times New Roman"/>
          <w:color w:val="000000"/>
          <w:spacing w:val="-4"/>
          <w:sz w:val="24"/>
          <w:lang w:val="ru-RU"/>
        </w:rPr>
        <w:t xml:space="preserve">СШ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100 % общеобразовательных организаций Курганской области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ED1371">
        <w:rPr>
          <w:rFonts w:ascii="Times New Roman" w:hAnsi="Times New Roman"/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Характерные проблемы: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2. Текущее состояние единого воспитательного пространства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  <w:t>В 2015 году в Кетовском районе Курганской области функционируют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7</w:t>
      </w:r>
      <w:r w:rsidRPr="00ED1371">
        <w:rPr>
          <w:rFonts w:ascii="Times New Roman" w:hAnsi="Times New Roman"/>
          <w:color w:val="000000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ED1371">
        <w:rPr>
          <w:rFonts w:ascii="Times New Roman" w:hAnsi="Times New Roman"/>
          <w:color w:val="000000"/>
          <w:sz w:val="24"/>
        </w:rPr>
        <w:t>Охват детей от 5 до 17 лет услугами дополнительного образования в общей численности детей этого возраста составил 62 %.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  принята </w:t>
      </w:r>
      <w:r w:rsidR="00AF632D">
        <w:rPr>
          <w:rFonts w:ascii="Times New Roman" w:hAnsi="Times New Roman"/>
          <w:sz w:val="24"/>
          <w:lang w:val="ru-RU"/>
        </w:rPr>
        <w:lastRenderedPageBreak/>
        <w:t>муниципальная</w:t>
      </w:r>
      <w:r w:rsidR="00AF632D">
        <w:rPr>
          <w:rFonts w:ascii="Times New Roman" w:hAnsi="Times New Roman"/>
          <w:sz w:val="24"/>
        </w:rPr>
        <w:t xml:space="preserve"> программ</w:t>
      </w:r>
      <w:r w:rsidR="00AF632D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>, выделен</w:t>
      </w:r>
      <w:r w:rsidR="00D22153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 xml:space="preserve"> ставк</w:t>
      </w:r>
      <w:r w:rsidR="00D22153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 xml:space="preserve"> специалист</w:t>
      </w:r>
      <w:r w:rsidR="00D22153">
        <w:rPr>
          <w:rFonts w:ascii="Times New Roman" w:hAnsi="Times New Roman"/>
          <w:sz w:val="24"/>
          <w:lang w:val="ru-RU"/>
        </w:rPr>
        <w:t>а</w:t>
      </w:r>
      <w:r w:rsidRPr="00ED1371">
        <w:rPr>
          <w:rFonts w:ascii="Times New Roman" w:hAnsi="Times New Roman"/>
          <w:sz w:val="24"/>
        </w:rPr>
        <w:t xml:space="preserve">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hAnsi="Times New Roman"/>
          <w:color w:val="000000"/>
          <w:sz w:val="24"/>
        </w:rPr>
        <w:tab/>
        <w:t xml:space="preserve">В общеобразовательных организациях района  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ED1371" w:rsidRDefault="001B5DCA">
      <w:pPr>
        <w:pStyle w:val="a1"/>
        <w:spacing w:after="0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ab/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безработицы и наметилось снижение преступности.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деятельности общеобразовательных организаций Кетовского района Курганской области наблюдаются позитивные тенденции: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наблюдается повышение социального статуса педагога-воспитателя, классного руководителя, педагога дополнительного образования;</w:t>
      </w:r>
    </w:p>
    <w:p w:rsidR="001B5DCA" w:rsidRPr="00ED1371" w:rsidRDefault="001B5DCA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осознается необходимость сохранения преемственности ценностей и целей воспитания в определении фундаментального ядра содержания образования.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Наряду с проявлением позитивных тенденций в решении задач воспитания остаются нерешенными проблемы: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разрыв между процессом обучения и воспитания, потребность в целостности педагогического процесса;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низкая родительская активность в общественном управлении общеобразовательным учреждением;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отсутствие качественной педагогической поддержки процесса профессионального самоопределения обучающихся.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Существует также тенденция нарастания следующих негативных факторов: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деструктивное информационное воздействие на молодежь;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снижение численности молодежи вследствие демографических проблем прошлых лет и высокий уровень миграции молодежи;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дефицит молодых специалистов технических специальностей, агропромышленного комплекса, педагогических и медицинских кадров;</w:t>
      </w:r>
    </w:p>
    <w:p w:rsidR="001B5DCA" w:rsidRPr="00ED1371" w:rsidRDefault="001B5DCA">
      <w:pPr>
        <w:pStyle w:val="a1"/>
        <w:spacing w:after="0"/>
        <w:ind w:firstLine="765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недостаточная развитость инфраструктуры по работе с молодежью, несоответствие материально-технической базы работающих с молодежью организаций современным требованиям.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 xml:space="preserve">мероприятий. Необходимо осуществить переход на систему нормативно-подушевого финансирования, обновить содержание деятельности организаций дополнительного образования детей и молодежи Курганской области. Актуальной остается системная работа по подготовке, переподготовке и повышению квалификации кадров в сферах молодежной политики, воспитания и  дополнительного образования. 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3. </w:t>
      </w:r>
      <w:r w:rsidRPr="00ED1371">
        <w:rPr>
          <w:rFonts w:ascii="Times New Roman" w:hAnsi="Times New Roman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руководители школ), 806 чел. –  педагогические работники (474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В образовательных учреждениях Кетовского района ежегодно увеличивается доля учителей пенсионного возраста. Так, в 2013 году она составляла – 24 %, в 2014  году – 28,8 %, в 2015 году </w:t>
      </w:r>
      <w:r w:rsidR="00ED1371" w:rsidRPr="00ED1371">
        <w:rPr>
          <w:rFonts w:ascii="Times New Roman" w:hAnsi="Times New Roman"/>
          <w:color w:val="000000"/>
          <w:sz w:val="24"/>
        </w:rPr>
        <w:t>–</w:t>
      </w:r>
      <w:r w:rsidRPr="00ED1371">
        <w:rPr>
          <w:rFonts w:ascii="Times New Roman" w:hAnsi="Times New Roman"/>
          <w:color w:val="000000"/>
          <w:sz w:val="24"/>
        </w:rPr>
        <w:t xml:space="preserve"> 32,3 %.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Кетовского района.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Процент учителей со стажем до 5 лет в 2015 году составляет 14,8 %.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настоящее время потребность в молодых спе</w:t>
      </w:r>
      <w:r w:rsidRPr="00ED1371">
        <w:rPr>
          <w:rFonts w:ascii="Times New Roman" w:hAnsi="Times New Roman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  <w:r w:rsidRPr="00ED1371">
        <w:rPr>
          <w:rFonts w:ascii="Times New Roman" w:hAnsi="Times New Roman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1E4E1C" w:rsidRPr="00ED137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Указами Президента Российской Федерации от 7 мая 2</w:t>
      </w:r>
      <w:r w:rsidR="00DB47EE">
        <w:rPr>
          <w:rFonts w:ascii="Times New Roman" w:hAnsi="Times New Roman"/>
          <w:sz w:val="24"/>
        </w:rPr>
        <w:t>012 года № 597</w:t>
      </w:r>
      <w:r w:rsidR="00DB47EE">
        <w:rPr>
          <w:rFonts w:ascii="Times New Roman" w:hAnsi="Times New Roman"/>
          <w:sz w:val="24"/>
          <w:lang w:val="ru-RU"/>
        </w:rPr>
        <w:t xml:space="preserve"> </w:t>
      </w:r>
      <w:r w:rsidRPr="00ED1371">
        <w:rPr>
          <w:rFonts w:ascii="Times New Roman" w:hAnsi="Times New Roman"/>
          <w:sz w:val="24"/>
        </w:rPr>
        <w:t>«О мероприятиях по реализации государственной социальной политики», от 7 мая  2012 года № 599 «О мерах по реализации государственной политики в области образования и науки»</w:t>
      </w:r>
      <w:r w:rsidR="00564D68" w:rsidRPr="00ED1371">
        <w:rPr>
          <w:rFonts w:ascii="Times New Roman" w:hAnsi="Times New Roman"/>
          <w:sz w:val="24"/>
        </w:rPr>
        <w:t xml:space="preserve">, </w:t>
      </w:r>
      <w:r w:rsidR="00D12BD7" w:rsidRPr="00ED1371">
        <w:rPr>
          <w:rFonts w:ascii="Times New Roman" w:hAnsi="Times New Roman"/>
          <w:sz w:val="24"/>
          <w:lang w:val="ru-RU"/>
        </w:rPr>
        <w:t xml:space="preserve">Указом </w:t>
      </w:r>
      <w:r w:rsidR="00D12BD7" w:rsidRPr="00ED1371">
        <w:rPr>
          <w:rFonts w:ascii="Times New Roman" w:hAnsi="Times New Roman"/>
          <w:sz w:val="24"/>
        </w:rPr>
        <w:t xml:space="preserve">Президента Российской Федерации </w:t>
      </w:r>
      <w:r w:rsidR="00564D68" w:rsidRPr="00ED1371">
        <w:rPr>
          <w:rFonts w:ascii="Times New Roman" w:hAnsi="Times New Roman"/>
          <w:sz w:val="24"/>
        </w:rPr>
        <w:t>от 9 мая 2017 года № 203 «О стратегии развития информационного общества в Российской Федерации на 2017 – 2030 годы»</w:t>
      </w:r>
      <w:r w:rsidRPr="00ED1371">
        <w:rPr>
          <w:rFonts w:ascii="Times New Roman" w:hAnsi="Times New Roman"/>
          <w:sz w:val="24"/>
        </w:rPr>
        <w:t>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ED1371" w:rsidRDefault="001B5DCA">
      <w:pPr>
        <w:pStyle w:val="a1"/>
        <w:spacing w:after="0"/>
        <w:ind w:firstLine="720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 24 мая 2014 года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1B5DCA" w:rsidRPr="00ED1371" w:rsidRDefault="001B5DC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ab/>
        <w:t xml:space="preserve">Стратегией развития воспитания в Российской Федерации на период до 2025 года, утвержденной </w:t>
      </w:r>
      <w:hyperlink w:anchor="sub_0" w:history="1">
        <w:r w:rsidRPr="00ED1371">
          <w:rPr>
            <w:rStyle w:val="a7"/>
            <w:rFonts w:ascii="Times New Roman" w:eastAsia="Arial" w:hAnsi="Times New Roman"/>
            <w:color w:val="auto"/>
            <w:spacing w:val="-4"/>
            <w:sz w:val="24"/>
            <w:u w:val="none"/>
            <w:lang w:val="ru-RU"/>
          </w:rPr>
          <w:t>распоряжением</w:t>
        </w:r>
      </w:hyperlink>
      <w:r w:rsidRPr="00ED1371">
        <w:rPr>
          <w:rFonts w:ascii="Times New Roman" w:eastAsia="Arial" w:hAnsi="Times New Roman"/>
          <w:spacing w:val="-4"/>
          <w:sz w:val="24"/>
        </w:rPr>
        <w:t xml:space="preserve"> Правительства Российской Федерации от 29 мая 2015 года № 996-р;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Концепцией развития дополнительного образования детей, утвержденной распоряжением Правительства Российской Федерации от </w:t>
      </w:r>
      <w:r w:rsidR="00DB47EE">
        <w:rPr>
          <w:rFonts w:ascii="Times New Roman" w:hAnsi="Times New Roman"/>
          <w:sz w:val="24"/>
        </w:rPr>
        <w:t xml:space="preserve">4 сентября 2014 года </w:t>
      </w:r>
      <w:r w:rsidR="00DB47EE">
        <w:rPr>
          <w:rFonts w:ascii="Times New Roman" w:hAnsi="Times New Roman"/>
          <w:sz w:val="24"/>
          <w:lang w:val="ru-RU"/>
        </w:rPr>
        <w:t xml:space="preserve"> </w:t>
      </w:r>
      <w:r w:rsidRPr="00ED1371">
        <w:rPr>
          <w:rFonts w:ascii="Times New Roman" w:hAnsi="Times New Roman"/>
          <w:sz w:val="24"/>
        </w:rPr>
        <w:t>№ 1726-р;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Основами государственной молодежной политики Российской Федерации на период до 2025 года, утвержденными </w:t>
      </w:r>
      <w:hyperlink w:anchor="sub_0" w:history="1">
        <w:r w:rsidRPr="00ED1371">
          <w:rPr>
            <w:rStyle w:val="a7"/>
            <w:rFonts w:ascii="Times New Roman" w:hAnsi="Times New Roman"/>
            <w:color w:val="auto"/>
            <w:sz w:val="24"/>
            <w:u w:val="none"/>
            <w:lang w:val="ru-RU"/>
          </w:rPr>
          <w:t>распоряжением</w:t>
        </w:r>
      </w:hyperlink>
      <w:r w:rsidRPr="00ED1371">
        <w:rPr>
          <w:rFonts w:ascii="Times New Roman" w:hAnsi="Times New Roman"/>
          <w:sz w:val="24"/>
        </w:rPr>
        <w:t xml:space="preserve"> Правительства Российской Федерации от  29 ноября 2014 года № 2403-р;</w:t>
      </w:r>
    </w:p>
    <w:p w:rsidR="001B5DCA" w:rsidRPr="00ED1371" w:rsidRDefault="001B5DCA">
      <w:pPr>
        <w:pStyle w:val="1"/>
        <w:spacing w:before="0" w:after="0"/>
        <w:jc w:val="both"/>
        <w:rPr>
          <w:rFonts w:cs="Times New Roman"/>
          <w:sz w:val="24"/>
          <w:szCs w:val="24"/>
        </w:rPr>
      </w:pPr>
      <w:r w:rsidRPr="00ED1371">
        <w:rPr>
          <w:rFonts w:cs="Times New Roman"/>
          <w:b w:val="0"/>
          <w:bCs w:val="0"/>
          <w:sz w:val="24"/>
          <w:szCs w:val="24"/>
        </w:rPr>
        <w:tab/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ED1371">
        <w:rPr>
          <w:rFonts w:cs="Times New Roman"/>
          <w:b w:val="0"/>
          <w:bCs w:val="0"/>
          <w:sz w:val="24"/>
          <w:szCs w:val="24"/>
        </w:rPr>
        <w:br/>
        <w:t>от 28 ноября 2014 года № 86.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ED137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color w:val="0000FF"/>
          <w:sz w:val="24"/>
        </w:rPr>
      </w:pPr>
      <w:r w:rsidRPr="00ED137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hAnsi="Times New Roman"/>
          <w:sz w:val="24"/>
        </w:rPr>
        <w:t xml:space="preserve">Целями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повышение эффективности реализации молодежной политики в Кетовском районе Курганской области</w:t>
      </w:r>
      <w:r w:rsidR="005639F3" w:rsidRPr="00ED1371">
        <w:rPr>
          <w:rFonts w:ascii="Times New Roman" w:eastAsia="Arial" w:hAnsi="Times New Roman"/>
          <w:color w:val="2D2D2D"/>
          <w:sz w:val="24"/>
        </w:rPr>
        <w:t>;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Для достижения поставленных целей </w:t>
      </w:r>
      <w:r w:rsidR="005639F3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 программой предусматривается решение следующих задач: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ED1371" w:rsidRDefault="001B5DCA">
      <w:pPr>
        <w:pStyle w:val="a1"/>
        <w:spacing w:after="0"/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ED1371">
        <w:rPr>
          <w:rFonts w:ascii="Times New Roman" w:eastAsia="Arial" w:hAnsi="Times New Roman"/>
          <w:color w:val="000000"/>
          <w:spacing w:val="-4"/>
          <w:sz w:val="24"/>
        </w:rPr>
        <w:t>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содержания общего образования и образовательной среды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2. Подпрограмма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>».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3. </w:t>
      </w:r>
      <w:r w:rsidRPr="00ED1371">
        <w:rPr>
          <w:rFonts w:ascii="Times New Roman" w:hAnsi="Times New Roman"/>
          <w:sz w:val="24"/>
        </w:rPr>
        <w:t xml:space="preserve">Подпрограмма «Кадровое обеспечение системы образования Кетовского района Курганской области».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ED1371">
        <w:rPr>
          <w:rFonts w:ascii="Times New Roman" w:hAnsi="Times New Roman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</w:t>
      </w:r>
      <w:r w:rsidR="006A6C29">
        <w:rPr>
          <w:rStyle w:val="31"/>
          <w:rFonts w:ascii="Times New Roman" w:hAnsi="Times New Roman"/>
          <w:spacing w:val="-4"/>
          <w:sz w:val="24"/>
          <w:shd w:val="clear" w:color="auto" w:fill="FFFFFF"/>
          <w:lang w:val="ru-RU"/>
        </w:rPr>
        <w:t>о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на.</w:t>
      </w:r>
    </w:p>
    <w:p w:rsidR="001B5DCA" w:rsidRPr="00ED1371" w:rsidRDefault="001B5DCA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Содержание  подпрограмм  приведено  в  приложениях к </w:t>
      </w:r>
      <w:r w:rsidR="006A6C29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</w:t>
      </w:r>
      <w:r w:rsidRPr="00ED1371">
        <w:rPr>
          <w:rFonts w:ascii="Times New Roman" w:hAnsi="Times New Roman"/>
          <w:sz w:val="24"/>
        </w:rPr>
        <w:br/>
        <w:t xml:space="preserve">программе. </w:t>
      </w:r>
    </w:p>
    <w:p w:rsidR="001B5DCA" w:rsidRPr="00ED1371" w:rsidRDefault="001B5DCA">
      <w:pPr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определена на период</w:t>
      </w:r>
      <w:r w:rsidRPr="00ED1371">
        <w:rPr>
          <w:rFonts w:ascii="Times New Roman" w:hAnsi="Times New Roman"/>
          <w:sz w:val="24"/>
        </w:rPr>
        <w:br/>
        <w:t xml:space="preserve">с 2016 по 2020 годы. Администрацией Кетовского района может быть принято решение о продлении срока реализации </w:t>
      </w:r>
      <w:r w:rsidR="00616E6A">
        <w:rPr>
          <w:rFonts w:ascii="Times New Roman" w:hAnsi="Times New Roman"/>
          <w:sz w:val="24"/>
          <w:lang w:val="ru-RU"/>
        </w:rPr>
        <w:t>муниципальн</w:t>
      </w:r>
      <w:r w:rsidRPr="00ED1371">
        <w:rPr>
          <w:rFonts w:ascii="Times New Roman" w:hAnsi="Times New Roman"/>
          <w:sz w:val="24"/>
        </w:rPr>
        <w:t>ой программы, исходя из результатов реализации.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 Кетовского района Курганской области, а также получить социально значимые результаты в сфере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>ой  программы: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hAnsi="Times New Roman"/>
          <w:color w:val="000000"/>
          <w:sz w:val="24"/>
        </w:rPr>
        <w:t>сохранение 100-процентной доступности дошкольного образования для детей в возрасте от 3 до 7 лет;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 xml:space="preserve">повышение социальной активности молодых людей, проживающих на территории </w:t>
      </w: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lastRenderedPageBreak/>
        <w:t>Кетовского района Курганской области;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1B5DCA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положительная динамика в развитии семейных форм устройства детей-сирот;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 w:rsidP="00575D22">
      <w:pPr>
        <w:jc w:val="both"/>
        <w:rPr>
          <w:rFonts w:ascii="Times New Roman" w:hAnsi="Times New Roman"/>
          <w:sz w:val="24"/>
        </w:rPr>
        <w:sectPr w:rsidR="001B5DCA" w:rsidRPr="00ED1371" w:rsidSect="00DB47EE">
          <w:headerReference w:type="default" r:id="rId9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Перечень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ED1371">
        <w:rPr>
          <w:rFonts w:ascii="Times New Roman" w:hAnsi="Times New Roman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4427"/>
        <w:gridCol w:w="1530"/>
        <w:gridCol w:w="5235"/>
        <w:gridCol w:w="2662"/>
      </w:tblGrid>
      <w:tr w:rsidR="001B5DCA" w:rsidRPr="00ED137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 100-процентной доступности дошкольного образования для детей в возрасте   от 3 до 7 лет;</w:t>
            </w:r>
          </w:p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 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  <w:lang w:val="ru-RU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37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4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ED1371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условий профессионального </w:t>
            </w: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УНО;</w:t>
            </w:r>
          </w:p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62794D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ED1371">
              <w:rPr>
                <w:rFonts w:ascii="Times New Roman" w:hAnsi="Times New Roman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качества оказания государственных услуг, исполнения государственных функций;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внедрение в практику современных механизмов и методов управления в системе образования Кетовского района.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</w:tbl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Примечания: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ED1371">
        <w:rPr>
          <w:rFonts w:ascii="Times New Roman" w:hAnsi="Times New Roman"/>
          <w:sz w:val="24"/>
        </w:rPr>
        <w:br/>
        <w:t xml:space="preserve">к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Перечень мероприятий подпрограммы 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ED1371" w:rsidSect="001064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F30ACF" w:rsidRDefault="001B5DCA" w:rsidP="00F30ACF">
      <w:pPr>
        <w:pStyle w:val="af7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F30ACF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F30ACF">
        <w:rPr>
          <w:rFonts w:ascii="Times New Roman" w:hAnsi="Times New Roman"/>
          <w:sz w:val="24"/>
        </w:rPr>
        <w:t xml:space="preserve">муниципальной </w:t>
      </w:r>
      <w:r w:rsidRPr="00F30ACF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F30ACF">
        <w:rPr>
          <w:rFonts w:ascii="Times New Roman" w:hAnsi="Times New Roman"/>
          <w:sz w:val="24"/>
        </w:rPr>
        <w:t xml:space="preserve">в соответствии с </w:t>
      </w:r>
      <w:r w:rsidR="00616E6A" w:rsidRPr="00F30ACF">
        <w:rPr>
          <w:rFonts w:ascii="Times New Roman" w:hAnsi="Times New Roman"/>
          <w:color w:val="000000"/>
          <w:sz w:val="24"/>
        </w:rPr>
        <w:t>Порядком проведения оценки эффективности реализации муниципальных программ Администрации Кетовского района</w:t>
      </w:r>
      <w:r w:rsidR="00F30ACF" w:rsidRPr="00F30ACF">
        <w:rPr>
          <w:rFonts w:ascii="Times New Roman" w:hAnsi="Times New Roman"/>
          <w:color w:val="000000"/>
          <w:sz w:val="24"/>
        </w:rPr>
        <w:t xml:space="preserve">, утвержденным постановлением Администрации Кетовского района от </w:t>
      </w:r>
      <w:r w:rsidR="00F30ACF" w:rsidRPr="00F30ACF">
        <w:rPr>
          <w:rFonts w:ascii="Times New Roman" w:hAnsi="Times New Roman"/>
          <w:sz w:val="24"/>
        </w:rPr>
        <w:t xml:space="preserve">  17 августа  2016 г.</w:t>
      </w:r>
      <w:r w:rsidR="00F30ACF" w:rsidRPr="00F30ACF">
        <w:rPr>
          <w:rFonts w:ascii="Times New Roman" w:hAnsi="Times New Roman"/>
          <w:sz w:val="28"/>
          <w:szCs w:val="28"/>
        </w:rPr>
        <w:t xml:space="preserve">  </w:t>
      </w:r>
      <w:r w:rsidR="00F30ACF" w:rsidRPr="00F30ACF">
        <w:rPr>
          <w:rFonts w:ascii="Times New Roman" w:hAnsi="Times New Roman"/>
          <w:sz w:val="24"/>
        </w:rPr>
        <w:t>№ 2028 «</w:t>
      </w:r>
      <w:r w:rsidR="00F30ACF" w:rsidRPr="00F30ACF">
        <w:rPr>
          <w:rFonts w:ascii="Times New Roman" w:hAnsi="Times New Roman"/>
          <w:bCs/>
          <w:color w:val="000000"/>
          <w:sz w:val="24"/>
        </w:rPr>
        <w:t>О муниципальных программах Администрации Кетовского района</w:t>
      </w:r>
      <w:r w:rsidR="00F30ACF" w:rsidRPr="00F30ACF">
        <w:rPr>
          <w:rFonts w:ascii="Times New Roman" w:hAnsi="Times New Roman"/>
          <w:sz w:val="24"/>
        </w:rPr>
        <w:t>»</w:t>
      </w:r>
      <w:r w:rsidR="00F30ACF">
        <w:rPr>
          <w:rFonts w:ascii="Times New Roman" w:hAnsi="Times New Roman"/>
          <w:sz w:val="24"/>
        </w:rPr>
        <w:t>,</w:t>
      </w:r>
      <w:r w:rsidR="00616E6A" w:rsidRPr="00F30ACF">
        <w:rPr>
          <w:rFonts w:ascii="Times New Roman" w:hAnsi="Times New Roman"/>
          <w:sz w:val="24"/>
        </w:rPr>
        <w:t xml:space="preserve"> </w:t>
      </w:r>
      <w:r w:rsidRPr="00F30ACF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ED137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ED137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населения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99,4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от 3 до 7 лет, находящихся в очереди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1,62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с основными современными требованиями (с учетом федеральных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государственных образовательных </w:t>
            </w:r>
            <w:hyperlink r:id="rId16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Задачи: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ED1371">
              <w:rPr>
                <w:rFonts w:ascii="Times New Roman" w:hAnsi="Times New Roman"/>
                <w:color w:val="800000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образованием, в общей численности населения в возрасте от 5 до 18 лет;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3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число международных сопоставительных исследований качества образования, в которых Кетовский район участвует на регулярной основе 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14F" w:rsidRPr="00ED1371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1357596,5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  <w:r w:rsidR="00C63FF8">
              <w:rPr>
                <w:rFonts w:ascii="Times New Roman" w:hAnsi="Times New Roman"/>
                <w:sz w:val="24"/>
              </w:rPr>
              <w:t>6243,6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188643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 w:rsidP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231747,6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352986,8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333594,9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425797,7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333</w:t>
            </w:r>
            <w:r w:rsidR="006F2FA2">
              <w:rPr>
                <w:rFonts w:ascii="Times New Roman" w:hAnsi="Times New Roman"/>
                <w:sz w:val="24"/>
              </w:rPr>
              <w:t>902,5</w:t>
            </w:r>
          </w:p>
          <w:p w:rsidR="00BD714F" w:rsidRPr="00972D19" w:rsidRDefault="00BD714F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664</w:t>
            </w:r>
            <w:r w:rsidR="00C63FF8">
              <w:rPr>
                <w:rFonts w:ascii="Times New Roman" w:hAnsi="Times New Roman"/>
                <w:sz w:val="24"/>
              </w:rPr>
              <w:t>217,9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269</w:t>
            </w:r>
            <w:r w:rsidR="006F2FA2">
              <w:rPr>
                <w:rFonts w:ascii="Times New Roman" w:hAnsi="Times New Roman"/>
                <w:sz w:val="24"/>
              </w:rPr>
              <w:t>708,5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79</w:t>
            </w:r>
            <w:r w:rsidR="00C63FF8">
              <w:rPr>
                <w:rFonts w:ascii="Times New Roman" w:hAnsi="Times New Roman"/>
                <w:sz w:val="24"/>
              </w:rPr>
              <w:t>2490,2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Задача: 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:rsidR="001B5DCA" w:rsidRPr="00ED1371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индикаторы: 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58884,3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9236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11149,4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13910,9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14562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10026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«Кадровое обеспечение системы образования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48678,8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43980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D4AC3" w:rsidRPr="00ED1371">
              <w:rPr>
                <w:rFonts w:ascii="Times New Roman" w:hAnsi="Times New Roman"/>
                <w:sz w:val="24"/>
              </w:rPr>
              <w:t>70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309,7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120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100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Целевой индикатор: 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162530,7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6174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38762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3115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53625,4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 w:rsidP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D4AC3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059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37638,3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19425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13080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</w:t>
      </w:r>
      <w:r w:rsidRPr="00ED1371">
        <w:rPr>
          <w:rFonts w:ascii="Times New Roman" w:hAnsi="Times New Roman"/>
          <w:color w:val="000000"/>
          <w:sz w:val="24"/>
        </w:rPr>
        <w:lastRenderedPageBreak/>
        <w:t>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ED1371" w:rsidRDefault="001B5DCA" w:rsidP="005639F3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(далее –  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125D66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0F393A" w:rsidRPr="00ED1371" w:rsidRDefault="001B5DCA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формирование 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Охват детей дошкольными образовательными организациями (отношение численности детей в возрасте от 2 месяцев до        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общеобразовательных организациях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0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Мбит/с и выше,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общем числе общеобразовательных организаций, подключенных к информационно-телекоммуникационной сети «Интернет» (сельской местности) (процент);</w:t>
            </w:r>
          </w:p>
          <w:p w:rsidR="001B5DCA" w:rsidRPr="00ED1371" w:rsidRDefault="001B5DCA" w:rsidP="00125D66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национальных исследований качества образования,             в которых Кетовский район участвует на регулярной основе (единиц);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F4474">
              <w:rPr>
                <w:rFonts w:ascii="Times New Roman" w:hAnsi="Times New Roman"/>
                <w:sz w:val="24"/>
              </w:rPr>
              <w:t>1357596,5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1</w:t>
            </w:r>
            <w:r w:rsidR="00972D19">
              <w:rPr>
                <w:rFonts w:ascii="Times New Roman" w:hAnsi="Times New Roman"/>
                <w:sz w:val="24"/>
              </w:rPr>
              <w:t>88643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972D19">
              <w:rPr>
                <w:rFonts w:ascii="Times New Roman" w:hAnsi="Times New Roman"/>
                <w:color w:val="000000"/>
                <w:sz w:val="24"/>
              </w:rPr>
              <w:t>231747,6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0F4474">
              <w:rPr>
                <w:rFonts w:ascii="Times New Roman" w:hAnsi="Times New Roman"/>
                <w:color w:val="000000"/>
                <w:sz w:val="24"/>
              </w:rPr>
              <w:t>333594,9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333</w:t>
            </w:r>
            <w:r w:rsidR="009F14B4">
              <w:rPr>
                <w:rFonts w:ascii="Times New Roman" w:hAnsi="Times New Roman"/>
                <w:sz w:val="24"/>
              </w:rPr>
              <w:t>902,5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269</w:t>
            </w:r>
            <w:r w:rsidR="009F14B4">
              <w:rPr>
                <w:rFonts w:ascii="Times New Roman" w:hAnsi="Times New Roman"/>
                <w:sz w:val="24"/>
              </w:rPr>
              <w:t>708,5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972D19">
              <w:rPr>
                <w:rFonts w:ascii="Times New Roman" w:hAnsi="Times New Roman"/>
                <w:sz w:val="24"/>
              </w:rPr>
              <w:t>253</w:t>
            </w:r>
            <w:r w:rsidR="00C63FF8">
              <w:rPr>
                <w:rFonts w:ascii="Times New Roman" w:hAnsi="Times New Roman"/>
                <w:sz w:val="24"/>
              </w:rPr>
              <w:t>6243,6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972D19">
              <w:rPr>
                <w:rFonts w:ascii="Times New Roman" w:hAnsi="Times New Roman"/>
                <w:sz w:val="24"/>
              </w:rPr>
              <w:t>352986,8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972D19" w:rsidRPr="00972D19">
              <w:rPr>
                <w:rFonts w:ascii="Times New Roman" w:hAnsi="Times New Roman"/>
                <w:sz w:val="24"/>
              </w:rPr>
              <w:t>425797,7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664217,9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C63FF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792490,2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начального общего, 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образования); 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сокращение очередности детей от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1,5 до 3 лет в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1B5DCA" w:rsidRPr="00ED1371" w:rsidRDefault="001B5DCA" w:rsidP="00125D66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обучающиеся 1-4 классов и 10-11 классов станут обучаться в одну смену, будет удержан существующий односменный режим обучения;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lastRenderedPageBreak/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 муниципальных заданий);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ED137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участия Кетовского райна в значимых международных сопоставительных и национальных исследованиях качества образования; 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Pr="00ED137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классах; 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Style w:val="31"/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28 образовательных организаций, реализующие программы дошкольного образования, в том числе 24 дошкольные образовательные организации. Общая численность воспитанников – 2615 человек, в том числе в возрасте от 3 до 7 лет – 2159 человек (2014 год – 2084 чел., 2013 год –  2019 чел.).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Вариативными формами оказания услуг в сфере дошкольного образования охвачено 1194 детей, в том числе для 99 человек функционируют 7 групп кратковременного пребывания, 75 детей охвачены дошкольным образованием через культурно-образовательные центры, 1020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С целью достижения к 2016 году 100-процентной доступности дошкольного образования для детей в возрасте от 3 до 7 лет созданы новые дошкольные места: 2012 год – 117 мест, 2013 год – 300 мест, 2014 год – 40 мест. </w:t>
      </w:r>
      <w:r w:rsidRPr="00ED1371">
        <w:rPr>
          <w:rFonts w:ascii="Times New Roman" w:eastAsia="Arial" w:hAnsi="Times New Roman"/>
          <w:color w:val="800000"/>
          <w:spacing w:val="-4"/>
          <w:sz w:val="24"/>
        </w:rPr>
        <w:t xml:space="preserve">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На территории Кетовского района Курганской области функционируют 24 муниципальные общеобразовательные организации и 6 филиалов. Сельские общеобразовательные организации составляют 100 %. Общая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 xml:space="preserve"> численность обучающихся – 5375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человек.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Доля школьников, обучающихся по федеральному государственному образовательному стандарту начального общего образования, к общей численности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обучающихся в начальной школе составила 100 %.  В 2014-2015 учебном году в региональном инновационном проекте «Апробация федерального государственного образовательного стандарта основного общего образования» (далее – ФГОС ООО) участвовали 2 общеобразовательные организации Кетовского района (Барабинская и Пименовская СШ). По ФГОС ООО обучались 53 школьника 5-6 классов, что в общей численности обучающихся составило 1,04 %, в общей численности школьников основной школы – 2,2 %. С 1 сентября 2015 года все общеобразовательные организации Курганской области, реализующие образовательные программы основного общего образования, переходят на ФГОС ООО.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В 2015-2016 учебном году доля общеобразовательных организаций, реализующих профильное обучение, возросла на 62,5 % и составила 81,2 %.  Доля старшеклассников, охваченных профильным обучением, увеличилась с 24 % до 48,5 %.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Возросла эффективность участия школьников в олимпиадах и конкурсах. Каждый второй участник заключительного этапа Всероссийской олимпиады школьников стал победителем или призером.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100 % общеобразовательных организаций Кетовского района обеспечены доступом к информационно-телекоммуникационной сети «Интернет» с обязательной системой контентной фильтрации. При этом 83,8% общеобразовательных организаций имеют высокоскоростной Интернет – свыше 2 Мбит/с. 60% школ имеют скорость свыше  4 МБит. 33,3</w:t>
      </w:r>
      <w:r w:rsidRPr="00ED1371">
        <w:rPr>
          <w:rFonts w:ascii="Times New Roman" w:hAnsi="Times New Roman"/>
          <w:color w:val="000000"/>
          <w:sz w:val="24"/>
        </w:rPr>
        <w:t xml:space="preserve"> % общеобразовательных организаций Кетовского района при реализации образовательных программ используют дистанционные образовательные технологии.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Вместе с тем  для сферы общего образования Кетовского района Курганской области характерны следующие проблемы: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сохранение 100-процентной доступности дошкольного образования для детей         в возрасте от 3 до 7 лет в связи с последующим ростом численности детского населения;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отсутствие в большинстве средних общеобразовательных организаций возможности выбора старшеклассниками профиля обучения не менее чем из                 4 основных профильных направлений;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2016-2020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III. Приоритеты и цел</w:t>
      </w:r>
      <w:r w:rsidRPr="00ED1371">
        <w:rPr>
          <w:rFonts w:ascii="Times New Roman" w:eastAsia="Arial" w:hAnsi="Times New Roman"/>
          <w:b/>
          <w:bCs/>
          <w:spacing w:val="-4"/>
          <w:sz w:val="24"/>
        </w:rPr>
        <w:t xml:space="preserve">и  политики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7 мая 2012 года № 599         «О мерах по реализации государственной политики в области образования и науки», государственной программой Российской Федерации «Развитие образ</w:t>
      </w:r>
      <w:r w:rsidR="000E0ACA" w:rsidRPr="00ED1371">
        <w:rPr>
          <w:rFonts w:ascii="Times New Roman" w:eastAsia="Arial" w:hAnsi="Times New Roman"/>
          <w:color w:val="000000"/>
          <w:spacing w:val="-4"/>
          <w:sz w:val="24"/>
        </w:rPr>
        <w:t>ования»                  на 201</w:t>
      </w:r>
      <w:r w:rsidR="000E0ACA" w:rsidRPr="00ED1371">
        <w:rPr>
          <w:rFonts w:ascii="Times New Roman" w:eastAsia="Arial" w:hAnsi="Times New Roman"/>
          <w:color w:val="000000"/>
          <w:spacing w:val="-4"/>
          <w:sz w:val="24"/>
          <w:lang w:val="ru-RU"/>
        </w:rPr>
        <w:t>3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-2020 годы, утвержденной распоряжением Правительства Российской Федерации от 15 апреля 2014 года № 295 (далее – государственная программа Российской Федерации «Развитие образования»), 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 (далее – Федеральная целевая программа развития образования).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достижение к 2016 году 100 процентов доступности дошкольного образования для детей в возрасте от 3 до 7 лет;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сокращение очередности детей от </w:t>
      </w:r>
      <w:r w:rsidRPr="00ED1371">
        <w:rPr>
          <w:rFonts w:ascii="Times New Roman" w:hAnsi="Times New Roman"/>
          <w:color w:val="000000"/>
          <w:sz w:val="24"/>
        </w:rPr>
        <w:t>1,5 до 3 лет в дошкольные образовательные организации;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удовлетворение потребности в дополнительных местах в общеобразовательных организациях;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участие Российской Федерации в международных сопоставительных исследованиях качества результатов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- развитие современных механизмов и технологий общего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ED1371" w:rsidRDefault="001B5DCA">
      <w:pPr>
        <w:ind w:firstLine="705"/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0F393A" w:rsidRPr="00ED1371" w:rsidRDefault="001B5DCA" w:rsidP="000F393A">
      <w:pPr>
        <w:pStyle w:val="af4"/>
        <w:spacing w:line="100" w:lineRule="atLeast"/>
        <w:jc w:val="both"/>
        <w:rPr>
          <w:rFonts w:ascii="Times New Roman" w:hAnsi="Times New Roman"/>
          <w:color w:val="FF0000"/>
          <w:sz w:val="24"/>
        </w:rPr>
      </w:pPr>
      <w:r w:rsidRPr="00ED1371">
        <w:rPr>
          <w:rFonts w:ascii="Times New Roman" w:hAnsi="Times New Roman"/>
          <w:sz w:val="24"/>
        </w:rPr>
        <w:t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</w:t>
      </w:r>
      <w:r w:rsidR="000F393A" w:rsidRPr="00ED1371">
        <w:rPr>
          <w:rFonts w:ascii="Times New Roman" w:hAnsi="Times New Roman"/>
          <w:sz w:val="24"/>
        </w:rPr>
        <w:t>;</w:t>
      </w:r>
      <w:r w:rsidR="000F393A" w:rsidRPr="00ED1371">
        <w:rPr>
          <w:rFonts w:ascii="Times New Roman" w:hAnsi="Times New Roman"/>
          <w:color w:val="FF0000"/>
          <w:sz w:val="24"/>
        </w:rPr>
        <w:t xml:space="preserve">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>формирование  системы оценки качества общего образования и образовательных результатов</w:t>
      </w:r>
      <w:r w:rsidR="00040DA8">
        <w:rPr>
          <w:rFonts w:ascii="Times New Roman" w:eastAsia="Arial" w:hAnsi="Times New Roman"/>
          <w:spacing w:val="-4"/>
          <w:sz w:val="24"/>
        </w:rPr>
        <w:t>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</w:t>
      </w:r>
      <w:r w:rsidRPr="00ED1371">
        <w:rPr>
          <w:rFonts w:ascii="Times New Roman" w:hAnsi="Times New Roman"/>
          <w:color w:val="0000FF"/>
          <w:sz w:val="24"/>
        </w:rPr>
        <w:t xml:space="preserve">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Образовательные комплексы позволят: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(в том числе негосударственного сектора дошкольного образования),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</w:t>
      </w:r>
      <w:r w:rsidRPr="00ED1371">
        <w:rPr>
          <w:rFonts w:ascii="Times New Roman" w:hAnsi="Times New Roman"/>
          <w:color w:val="0000FF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общеобразовательных организаций.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связи с этим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подпрограммой предусматривается мероприятие «Разработка и реализация  программы по созданию новых мест в общеобразовательных организациях». 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задачи «М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модернизацию содержания, механизмов и технологий начального общего, основного общего и среднего общего образования согласно требованиям федеральных государственных образовательных стандартов общего образования, с учетом запросов населения (обучающихся и их родителей (законных представителей)), с учетом результатов государственной итоговой аттестации обучающихся, регионального мониторинга учебных достижений, а также участия в российских и международных сопоставительных исследованиях качества подготовки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обучающихся;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чающихся (профильное обучение);</w:t>
      </w:r>
    </w:p>
    <w:p w:rsidR="001B5DCA" w:rsidRPr="00ED1371" w:rsidRDefault="001B5DCA">
      <w:pPr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       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ab/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 организаций с низкими результатами обучения и общеобразовательных организаций, функционирующих в неблагоприятных социальных условиях);</w:t>
      </w:r>
    </w:p>
    <w:p w:rsidR="001B5DCA" w:rsidRPr="00ED1371" w:rsidRDefault="001B5DCA">
      <w:pPr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 xml:space="preserve">     </w:t>
      </w:r>
      <w:r w:rsidR="00040DA8">
        <w:rPr>
          <w:rFonts w:ascii="Times New Roman" w:eastAsia="Arial" w:hAnsi="Times New Roman"/>
          <w:spacing w:val="-4"/>
          <w:sz w:val="24"/>
        </w:rPr>
        <w:tab/>
      </w:r>
      <w:r w:rsidRPr="00ED1371">
        <w:rPr>
          <w:rFonts w:ascii="Times New Roman" w:eastAsia="Arial" w:hAnsi="Times New Roman"/>
          <w:spacing w:val="-4"/>
          <w:sz w:val="24"/>
        </w:rPr>
        <w:t xml:space="preserve">участие в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реализации регионального межведомственного проекта «Интеллектуал Зауралья»,  включающего подпроекты «Агробизнесшкола», «Малая академия наук», «Шахматный всеобуч» и др.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процедур;</w:t>
      </w:r>
    </w:p>
    <w:p w:rsidR="001B5DCA" w:rsidRPr="00ED1371" w:rsidRDefault="00B276C5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ОУ </w:t>
      </w:r>
      <w:r w:rsidR="001B5DCA" w:rsidRPr="00ED1371">
        <w:rPr>
          <w:rFonts w:ascii="Times New Roman" w:hAnsi="Times New Roman"/>
          <w:sz w:val="24"/>
        </w:rPr>
        <w:t xml:space="preserve">Кетовского района в значимых международных сопоставительных и национальных исследованиях качества образования; </w:t>
      </w:r>
      <w:r w:rsidR="001B5DCA" w:rsidRPr="00ED1371">
        <w:rPr>
          <w:rStyle w:val="31"/>
          <w:rFonts w:ascii="Times New Roman" w:hAnsi="Times New Roman"/>
          <w:color w:val="000000"/>
          <w:sz w:val="24"/>
        </w:rPr>
        <w:t>обеспечение мониторинга системы образования Кетовского рай</w:t>
      </w:r>
      <w:r>
        <w:rPr>
          <w:rStyle w:val="31"/>
          <w:rFonts w:ascii="Times New Roman" w:hAnsi="Times New Roman"/>
          <w:color w:val="000000"/>
          <w:sz w:val="24"/>
        </w:rPr>
        <w:t>о</w:t>
      </w:r>
      <w:r w:rsidR="001B5DCA" w:rsidRPr="00ED1371">
        <w:rPr>
          <w:rStyle w:val="31"/>
          <w:rFonts w:ascii="Times New Roman" w:hAnsi="Times New Roman"/>
          <w:color w:val="000000"/>
          <w:sz w:val="24"/>
        </w:rPr>
        <w:t>на и использования его результатов в практике</w:t>
      </w:r>
      <w:r w:rsidR="00040DA8">
        <w:rPr>
          <w:rStyle w:val="31"/>
          <w:rFonts w:ascii="Times New Roman" w:hAnsi="Times New Roman"/>
          <w:color w:val="000000"/>
          <w:sz w:val="24"/>
        </w:rPr>
        <w:t>.</w:t>
      </w:r>
    </w:p>
    <w:p w:rsidR="001B5DCA" w:rsidRPr="00ED1371" w:rsidRDefault="001B5DCA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2016-2020 годов. Сроки реализации мероприятий подпрограммы приведены в таблице 1.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(</w:t>
      </w:r>
      <w:r w:rsidRPr="00ED1371">
        <w:rPr>
          <w:rFonts w:ascii="Times New Roman" w:hAnsi="Times New Roman"/>
          <w:sz w:val="24"/>
        </w:rPr>
        <w:t>к 2021 году будет функционировать эффективная</w:t>
      </w:r>
      <w:r w:rsidRPr="00ED1371">
        <w:rPr>
          <w:rFonts w:ascii="Times New Roman" w:hAnsi="Times New Roman"/>
          <w:sz w:val="24"/>
          <w:shd w:val="clear" w:color="auto" w:fill="FF0000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инфраструктуры психолого-педагогической, диагностической и консультативной помощи родителям с детьми от 0 до 3 лет;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сохранение 100-процентной доступности дошкольного образования для детей</w:t>
      </w:r>
      <w:r w:rsidRPr="00ED1371">
        <w:rPr>
          <w:rFonts w:ascii="Times New Roman" w:hAnsi="Times New Roman"/>
          <w:color w:val="000000"/>
          <w:sz w:val="24"/>
        </w:rPr>
        <w:br/>
        <w:t>в возрасте от 3 до 7 лет;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сокращение очередности детей от 1,5 до 3 лет в дошкольные образовательные организации;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1B5DCA" w:rsidRPr="00ED1371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в 2020 году будут обучаться по федеральным государственным образовательным стандартам общего образования все обучающиеся 1-10 классов;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1B5DCA" w:rsidRPr="00ED1371" w:rsidRDefault="001B5DCA">
      <w:pPr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к 2021 году обучающиеся 1-4 классов и 10-11 классов станут обучаться в одну смену, будет удержан существующий односменный режим обучения;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1B5DCA" w:rsidRPr="00ED1371" w:rsidRDefault="001B5DCA">
      <w:pPr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удовлетворенности населения Кетовского района Курганской области качеством услуг общего образования;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доступности качественного начального общего, основного общего и среднего общего образования о</w:t>
      </w:r>
      <w:r w:rsidRPr="00ED1371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формирования востребованной системы оценки качества общего образования;</w:t>
      </w:r>
    </w:p>
    <w:p w:rsidR="001B5DCA" w:rsidRPr="00ED1371" w:rsidRDefault="001B5DCA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</w:t>
      </w:r>
      <w:r w:rsidRPr="00ED1371">
        <w:rPr>
          <w:rFonts w:ascii="Times New Roman" w:hAnsi="Times New Roman"/>
          <w:sz w:val="24"/>
        </w:rPr>
        <w:t xml:space="preserve">беспечение участия Кетовского района в значимых международных сопоставительных и национальных исследованиях качества образования; </w:t>
      </w:r>
      <w:r w:rsidRPr="00ED1371">
        <w:rPr>
          <w:rStyle w:val="31"/>
          <w:rFonts w:ascii="Times New Roman" w:hAnsi="Times New Roman"/>
          <w:color w:val="000000"/>
          <w:sz w:val="24"/>
        </w:rPr>
        <w:t>обеспечение мониторинга системы образования Кетовского рай</w:t>
      </w:r>
      <w:r w:rsidR="005639F3" w:rsidRPr="00ED1371">
        <w:rPr>
          <w:rStyle w:val="31"/>
          <w:rFonts w:ascii="Times New Roman" w:hAnsi="Times New Roman"/>
          <w:color w:val="000000"/>
          <w:sz w:val="24"/>
        </w:rPr>
        <w:t>о</w:t>
      </w:r>
      <w:r w:rsidRPr="00ED1371">
        <w:rPr>
          <w:rStyle w:val="31"/>
          <w:rFonts w:ascii="Times New Roman" w:hAnsi="Times New Roman"/>
          <w:color w:val="000000"/>
          <w:sz w:val="24"/>
        </w:rPr>
        <w:t>на и использования его результатов в практике;</w:t>
      </w:r>
    </w:p>
    <w:p w:rsidR="001B5DCA" w:rsidRPr="00ED1371" w:rsidRDefault="001B5DCA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ascii="Times New Roman" w:eastAsia="Times New Roman" w:hAnsi="Times New Roman"/>
          <w:color w:val="000000"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</w:t>
      </w:r>
      <w:r w:rsidR="00125D66">
        <w:rPr>
          <w:rStyle w:val="31"/>
          <w:rFonts w:ascii="Times New Roman" w:hAnsi="Times New Roman"/>
          <w:color w:val="000000"/>
          <w:sz w:val="24"/>
          <w:lang w:val="ru-RU"/>
        </w:rPr>
        <w:t xml:space="preserve"> </w:t>
      </w:r>
      <w:r w:rsidRPr="00ED1371">
        <w:rPr>
          <w:rStyle w:val="31"/>
          <w:rFonts w:ascii="Times New Roman" w:hAnsi="Times New Roman"/>
          <w:color w:val="000000"/>
          <w:sz w:val="24"/>
        </w:rPr>
        <w:t xml:space="preserve">выпускных классах; </w:t>
      </w:r>
    </w:p>
    <w:p w:rsidR="001B5DCA" w:rsidRPr="00ED1371" w:rsidRDefault="001B5DCA">
      <w:pPr>
        <w:pStyle w:val="a1"/>
        <w:snapToGrid w:val="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eastAsia="Times New Roman" w:hAnsi="Times New Roman"/>
          <w:color w:val="000000"/>
          <w:sz w:val="24"/>
        </w:rPr>
        <w:t xml:space="preserve">формирование механизмов привлечения общественности к оценке качества общего образования. 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040DA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5731"/>
        <w:gridCol w:w="1545"/>
        <w:gridCol w:w="4602"/>
        <w:gridCol w:w="2013"/>
      </w:tblGrid>
      <w:tr w:rsidR="001B5DCA" w:rsidRPr="00ED137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ED137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ED137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ED1371">
              <w:rPr>
                <w:rFonts w:ascii="Times New Roman" w:hAnsi="Times New Roman"/>
                <w:sz w:val="24"/>
              </w:rPr>
              <w:br/>
              <w:t>на 2015-2018 годы.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ED137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Сохранение 100-процентной доступности дошкольного образования для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лет;</w:t>
            </w:r>
          </w:p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сокращение очередности детей от </w:t>
            </w:r>
          </w:p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1,5 до 3 лет в дошкольные образовательные организации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77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A06231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Создание условий для расширения доступа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участникам образовательных отношений</w:t>
            </w:r>
            <w:r w:rsidRPr="00ED1371">
              <w:rPr>
                <w:rFonts w:ascii="Times New Roman" w:hAnsi="Times New Roman"/>
                <w:sz w:val="24"/>
              </w:rPr>
              <w:br/>
              <w:t>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B5DCA" w:rsidRPr="00ED137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Обеспечение к 2018 году современных условий предоставления дошкольного образования в соответствии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hyperlink r:id="rId37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федеральным государственным образовательным стандартом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дошкольного образования для всех детей, посещающих дошкольные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 xml:space="preserve">2016-2020 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Введение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региональной межведомственной системы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учета контингента обучающихся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Объективность учета контингента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образовательные организации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ED137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040DA8">
              <w:rPr>
                <w:rFonts w:ascii="Times New Roman" w:hAnsi="Times New Roman"/>
                <w:sz w:val="24"/>
              </w:rPr>
              <w:t>7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образовательные организации </w:t>
            </w:r>
          </w:p>
        </w:tc>
      </w:tr>
      <w:tr w:rsidR="001B5DCA" w:rsidRPr="00ED137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3. Формирование востребованной региональной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040DA8">
              <w:rPr>
                <w:rFonts w:ascii="Times New Roman" w:hAnsi="Times New Roman"/>
                <w:sz w:val="24"/>
              </w:rPr>
              <w:t>8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32"/>
              <w:snapToGrid w:val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международных сопоставительных исследованиях качества образования;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мониторинга системы образования Кетовского района и использования его результатов в практике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B5483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4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9D2808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040DA8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</w:t>
            </w:r>
            <w:r w:rsidR="00040DA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Проведение комплекса мероприятий по организации на территории Кетовского района государственной итоговой аттестации выпускников образовательных организаций  государственной итоговой аттестации выпускников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5B5483">
            <w:pPr>
              <w:pStyle w:val="af4"/>
              <w:jc w:val="center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9D2808" w:rsidRPr="00ED1371" w:rsidRDefault="009D2808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</w:p>
        </w:tc>
      </w:tr>
      <w:tr w:rsidR="005B5483" w:rsidRPr="00ED1371" w:rsidTr="00040DA8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040DA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40DA8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32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Строительство школы в с. Кетово на 1100 мест</w:t>
            </w: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5B5483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2017 - 2019</w:t>
            </w:r>
          </w:p>
        </w:tc>
        <w:tc>
          <w:tcPr>
            <w:tcW w:w="4602" w:type="dxa"/>
            <w:tcBorders>
              <w:lef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  <w:t>Обеспечение доступного качественного образования, переход на односменный режим работы</w:t>
            </w: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5483" w:rsidRPr="00ED1371" w:rsidRDefault="005B5483" w:rsidP="004D20D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Администрация Кетовского района</w:t>
            </w:r>
          </w:p>
        </w:tc>
      </w:tr>
      <w:tr w:rsidR="00921487" w:rsidRPr="00ED1371" w:rsidTr="00040DA8">
        <w:tc>
          <w:tcPr>
            <w:tcW w:w="447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32"/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tcBorders>
              <w:left w:val="single" w:sz="1" w:space="0" w:color="000000"/>
            </w:tcBorders>
            <w:shd w:val="clear" w:color="auto" w:fill="auto"/>
          </w:tcPr>
          <w:p w:rsidR="00921487" w:rsidRPr="00ED1371" w:rsidRDefault="00921487" w:rsidP="00040DA8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ED1371" w:rsidRDefault="00921487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921487" w:rsidRPr="00ED1371" w:rsidTr="00040DA8">
        <w:trPr>
          <w:trHeight w:val="15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32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5B548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1487" w:rsidRPr="00ED1371" w:rsidRDefault="00921487" w:rsidP="009D280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9D2808">
      <w:pPr>
        <w:jc w:val="center"/>
        <w:rPr>
          <w:rFonts w:ascii="Times New Roman" w:eastAsia="Arial" w:hAnsi="Times New Roman"/>
          <w:color w:val="000000"/>
          <w:spacing w:val="-4"/>
          <w:sz w:val="24"/>
        </w:rPr>
        <w:sectPr w:rsidR="001B5DCA" w:rsidRPr="00ED1371" w:rsidSect="00040DA8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ED137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Охват детей дошкольными образовательными организациями (отношение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2 месяцев до 3 лет, посещающих дошкольные образовательные организации, к общей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от 2 месяцев до 3 лет)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21,3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21,6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22,6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Отношение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от 3 до 7 лет, находящихся в очереди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 (человек)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 (человек)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11,9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12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</w:t>
            </w:r>
            <w:r w:rsidR="00B276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с федеральными государственными образовательными стандартами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в общей численности обучающихся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79,2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95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с основными современными требованиями (с учетом </w:t>
            </w:r>
            <w:hyperlink r:id="rId44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42,5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61F52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числа общеобразовательных организаций,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имеющих скорость подключения к информационно-телекоммуникационной сети «Интернет» от 2 Мбит/с и выше,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 xml:space="preserve">в общем числе общеобразовательных организаций, подключенных к информационно-телекоммуникационной сети «Интернет»: </w:t>
            </w:r>
          </w:p>
          <w:p w:rsidR="00961F52" w:rsidRPr="00ED1371" w:rsidRDefault="00961F52" w:rsidP="004D20D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сельской местности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75,2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61F52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br/>
              <w:t>на регулярной основе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F52" w:rsidRPr="00ED1371" w:rsidRDefault="00961F52" w:rsidP="004D20D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1B5DC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  <w:lang w:val="ru-RU"/>
              </w:rPr>
              <w:t>Число международных сопоставительных исследований качества образования,       в которых Кетовский район участвует на регулярной основе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"/>
        <w:gridCol w:w="510"/>
        <w:gridCol w:w="45"/>
        <w:gridCol w:w="3850"/>
        <w:gridCol w:w="234"/>
        <w:gridCol w:w="1536"/>
        <w:gridCol w:w="45"/>
        <w:gridCol w:w="1788"/>
        <w:gridCol w:w="45"/>
        <w:gridCol w:w="1066"/>
        <w:gridCol w:w="45"/>
        <w:gridCol w:w="1048"/>
        <w:gridCol w:w="45"/>
        <w:gridCol w:w="1011"/>
        <w:gridCol w:w="45"/>
        <w:gridCol w:w="1010"/>
        <w:gridCol w:w="45"/>
        <w:gridCol w:w="1047"/>
        <w:gridCol w:w="45"/>
        <w:gridCol w:w="1084"/>
        <w:gridCol w:w="45"/>
      </w:tblGrid>
      <w:tr w:rsidR="001B5DCA" w:rsidRPr="00ED1371" w:rsidTr="00961F52">
        <w:trPr>
          <w:gridBefore w:val="1"/>
          <w:wBefore w:w="45" w:type="dxa"/>
          <w:tblHeader/>
        </w:trPr>
        <w:tc>
          <w:tcPr>
            <w:tcW w:w="5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61F52">
        <w:trPr>
          <w:gridBefore w:val="1"/>
          <w:wBefore w:w="45" w:type="dxa"/>
          <w:trHeight w:val="762"/>
          <w:tblHeader/>
        </w:trPr>
        <w:tc>
          <w:tcPr>
            <w:tcW w:w="5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числа общеобразовательных организаций, имеющих скорость подключения к информационно-телекоммуникационной сети «Интернет» от 2 Мбит/с и выше, в общем числе общеобразовательных организаций, </w:t>
            </w:r>
            <w:r w:rsidRPr="00ED1371">
              <w:rPr>
                <w:rFonts w:ascii="Times New Roman" w:eastAsia="Arial" w:hAnsi="Times New Roman"/>
                <w:sz w:val="24"/>
                <w:lang w:val="ru-RU"/>
              </w:rPr>
              <w:t>подключенных</w:t>
            </w:r>
            <w:r w:rsidRPr="00ED1371">
              <w:rPr>
                <w:rFonts w:ascii="Times New Roman" w:eastAsia="Arial" w:hAnsi="Times New Roman"/>
                <w:sz w:val="24"/>
                <w:lang w:val="ru-RU"/>
              </w:rPr>
              <w:br/>
              <w:t>к информационно-телекоммуникационной сети «Интернет» (в городских поселениях и сельской местности)</w:t>
            </w:r>
          </w:p>
        </w:tc>
      </w:tr>
      <w:tr w:rsidR="001B5DCA" w:rsidRPr="00ED1371" w:rsidTr="00961F52">
        <w:trPr>
          <w:gridBefore w:val="1"/>
          <w:wBefore w:w="45" w:type="dxa"/>
          <w:trHeight w:val="864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90754,7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41426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 w:rsidP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49328,7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64667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535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Поддержка развития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негосударственного сектора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Областной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4362,3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485,9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2301,5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76129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1574,9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  <w:trHeight w:val="879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734113,2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274798,1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459315,1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25172,3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5277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</w:t>
            </w:r>
            <w:r w:rsidR="000D4AC3" w:rsidRPr="00ED1371">
              <w:rPr>
                <w:rFonts w:ascii="Times New Roman" w:eastAsia="Arial" w:hAnsi="Times New Roman"/>
                <w:sz w:val="24"/>
              </w:rPr>
              <w:t>902,3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7077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6916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Организация и обеспечение питанием обучающихся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35</w:t>
            </w:r>
            <w:r w:rsidR="00902A8C">
              <w:rPr>
                <w:rFonts w:ascii="Times New Roman" w:hAnsi="Times New Roman"/>
                <w:sz w:val="24"/>
              </w:rPr>
              <w:t>047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1504</w:t>
            </w:r>
            <w:r w:rsidR="00B45BCE">
              <w:rPr>
                <w:rFonts w:ascii="Times New Roman" w:hAnsi="Times New Roman"/>
                <w:sz w:val="24"/>
              </w:rPr>
              <w:t>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7101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3043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5580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2291,4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254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232,</w:t>
            </w:r>
            <w:r w:rsidR="00B45BCE">
              <w:rPr>
                <w:rFonts w:ascii="Times New Roman" w:eastAsia="Arial" w:hAnsi="Times New Roman"/>
                <w:sz w:val="24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47723,1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13290,1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10730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6991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767</w:t>
            </w:r>
            <w:r w:rsidR="00464667">
              <w:rPr>
                <w:rFonts w:ascii="Times New Roman" w:eastAsia="Arial" w:hAnsi="Times New Roman"/>
                <w:sz w:val="24"/>
              </w:rPr>
              <w:t>178</w:t>
            </w:r>
            <w:r w:rsidR="000F4474">
              <w:rPr>
                <w:rFonts w:ascii="Times New Roman" w:eastAsia="Arial" w:hAnsi="Times New Roman"/>
                <w:sz w:val="24"/>
              </w:rPr>
              <w:t>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133460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143827,7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1711</w:t>
            </w:r>
            <w:r w:rsidR="000F4474">
              <w:rPr>
                <w:rFonts w:ascii="Times New Roman" w:eastAsia="Arial" w:hAnsi="Times New Roman"/>
                <w:sz w:val="24"/>
              </w:rPr>
              <w:t>39,4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7</w:t>
            </w:r>
            <w:r w:rsidR="00556BA7">
              <w:rPr>
                <w:rFonts w:ascii="Times New Roman" w:eastAsia="Arial" w:hAnsi="Times New Roman"/>
                <w:sz w:val="24"/>
              </w:rPr>
              <w:t>67</w:t>
            </w:r>
            <w:r w:rsidR="00464667">
              <w:rPr>
                <w:rFonts w:ascii="Times New Roman" w:eastAsia="Arial" w:hAnsi="Times New Roman"/>
                <w:sz w:val="24"/>
              </w:rPr>
              <w:t>51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420</w:t>
            </w:r>
            <w:r w:rsidR="00E3397E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 школ начальных, основных и средних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573</w:t>
            </w:r>
            <w:r w:rsidR="00E3397E">
              <w:rPr>
                <w:rFonts w:ascii="Times New Roman" w:eastAsia="Arial" w:hAnsi="Times New Roman"/>
                <w:sz w:val="24"/>
              </w:rPr>
              <w:t>383</w:t>
            </w:r>
            <w:r w:rsidR="000F4474">
              <w:rPr>
                <w:rFonts w:ascii="Times New Roman" w:eastAsia="Arial" w:hAnsi="Times New Roman"/>
                <w:sz w:val="24"/>
              </w:rPr>
              <w:t>,6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52140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85539,9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158888,7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E3397E">
              <w:rPr>
                <w:rFonts w:ascii="Times New Roman" w:eastAsia="Arial" w:hAnsi="Times New Roman"/>
                <w:sz w:val="24"/>
              </w:rPr>
              <w:t>2790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BE46DA">
              <w:rPr>
                <w:rFonts w:ascii="Times New Roman" w:eastAsia="Arial" w:hAnsi="Times New Roman"/>
                <w:sz w:val="24"/>
              </w:rPr>
              <w:t>40</w:t>
            </w:r>
            <w:r w:rsidR="00E3397E">
              <w:rPr>
                <w:rFonts w:ascii="Times New Roman" w:eastAsia="Arial" w:hAnsi="Times New Roman"/>
                <w:sz w:val="24"/>
              </w:rPr>
              <w:t>2</w:t>
            </w:r>
            <w:r w:rsidR="00BE46DA">
              <w:rPr>
                <w:rFonts w:ascii="Times New Roman" w:eastAsia="Arial" w:hAnsi="Times New Roman"/>
                <w:sz w:val="24"/>
              </w:rPr>
              <w:t>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1B5DCA" w:rsidRPr="00ED1371" w:rsidRDefault="001B5DCA" w:rsidP="009D280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экзамена;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51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  <w:lang w:val="ru-RU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  <w:lang w:val="ru-RU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961F52">
        <w:trPr>
          <w:gridAfter w:val="1"/>
          <w:wAfter w:w="45" w:type="dxa"/>
          <w:trHeight w:val="887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12.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2A19B1">
              <w:rPr>
                <w:rFonts w:ascii="Times New Roman" w:eastAsia="Arial" w:hAnsi="Times New Roman"/>
                <w:sz w:val="24"/>
              </w:rPr>
              <w:t>82197,4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66743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81699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85959,4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After w:val="1"/>
          <w:wAfter w:w="45" w:type="dxa"/>
          <w:trHeight w:val="3931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1209409,3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207854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245646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269179,1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C0BBE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1128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B383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6336,3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76041" w:rsidRDefault="001B5DCA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D7604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обучающихся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485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52B1A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18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34D81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Целевые индикаторы: 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br/>
              <w:t>на регулярной основе;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spacing w:val="-6"/>
                <w:sz w:val="24"/>
                <w:lang w:val="ru-RU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основе.</w:t>
            </w: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19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Организация и проведение государственной итоговой аттестации выпускников 9 классов и единого государственного экзамена выпускников  11 классов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общеобразовательных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B45BCE" w:rsidP="00C021CF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="002458DC"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1155,8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88,6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324,2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492,5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250,5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22.</w:t>
            </w:r>
          </w:p>
        </w:tc>
        <w:tc>
          <w:tcPr>
            <w:tcW w:w="3850" w:type="dxa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основам военной службы с обучающимися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9D2808"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="001B5DCA"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9B3F26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FA6E92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</w:tr>
      <w:tr w:rsidR="001B5DCA" w:rsidRPr="00ED1371" w:rsidTr="00961F52">
        <w:trPr>
          <w:gridBefore w:val="1"/>
          <w:wBefore w:w="45" w:type="dxa"/>
          <w:trHeight w:val="18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</w:t>
      </w:r>
      <w:r w:rsidR="00760C24" w:rsidRPr="00ED1371">
        <w:rPr>
          <w:rFonts w:ascii="Times New Roman" w:hAnsi="Times New Roman"/>
          <w:sz w:val="24"/>
        </w:rPr>
        <w:t>жение 2</w:t>
      </w:r>
    </w:p>
    <w:p w:rsidR="001B5DCA" w:rsidRPr="00ED1371" w:rsidRDefault="001B5DCA" w:rsidP="00F43B48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политики» 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4"/>
        <w:gridCol w:w="6792"/>
      </w:tblGrid>
      <w:tr w:rsidR="001B5DCA" w:rsidRPr="00ED1371" w:rsidTr="00961F52">
        <w:trPr>
          <w:trHeight w:val="825"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Подпрограмма «Реализация государственной молодежной политики, воспитания и дополнительного образования детей и молодежи» (далее – подпрограмма)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Ответственный исполнитель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Соисполнители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инансовый отдел Администрации Кетовского района (д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алее </w:t>
            </w:r>
            <w:r w:rsidR="0059253C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="00125D6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ФО)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Администрация Кетовского района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Администрация)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Отдел культуры Администрации Кетовского района (далее – ОК)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ДЮСШ)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</w:t>
            </w:r>
            <w:r w:rsidR="00125D66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ДЮЦ);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Комиссия по делам несовершеннолетних и защите их прав (КДН и ЗП)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Отдел министерства внутренних дел России по Курганской области в Кетовском районе (далее ОМВД)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Пожарная часть № 27 по охране Кетовского района (далее ПЧ)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Государственное бюджетное учреждение «Кетовская центральная районная больница» (далее </w:t>
            </w:r>
            <w:r w:rsidR="00E1153B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="00E1153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 (далее – ИРОСТ) (по согласованию);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Органы местного самоуправления Кетовского района (далее – ОМС) (по согласованию)</w:t>
            </w:r>
          </w:p>
        </w:tc>
      </w:tr>
      <w:tr w:rsidR="001B5DCA" w:rsidRPr="00ED1371" w:rsidTr="00961F52">
        <w:trPr>
          <w:trHeight w:val="921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Цель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Задачи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развитие воспитательной компоненты в общеобразовательных организациях;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совершенствование моделей и механизмов развития эффективной системы дополнительного образования детей и молодежи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 (человек);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E6E6FF"/>
                <w:lang w:eastAsia="ar-SA"/>
              </w:rPr>
              <w:t xml:space="preserve">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обучающихся, вовлеченных в работу органов ученического самоуправления, от общего числа обучающихся общеобразовательных организаций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 (процент);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Сроки реализации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 годы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Общий объем бюджетного финансирования подпрограммы на 2016-2020 годы за счет средств районного  бюджета составляет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58884,3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тысячи рублей, в том числе по годам: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1" w:name="__DdeLink__6786_1920298470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2016 год – </w:t>
            </w:r>
            <w:bookmarkEnd w:id="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9236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2017 год –   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11149,4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2018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13910,9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2019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14562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2020 год –    </w:t>
            </w:r>
            <w:r w:rsidR="003207AE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10026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1B5DCA" w:rsidRPr="00ED1371" w:rsidRDefault="001B5DCA" w:rsidP="00ED1F03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за счет средств областного бюджета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–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0A4584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5294,6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тысячи рублей, в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том числе по годам: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2" w:name="__DdeLink__6786_192029847011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2016 год – </w:t>
            </w:r>
            <w:bookmarkEnd w:id="2"/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  5294,6  тысяч рублей;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2017 год 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2018 год </w:t>
            </w:r>
          </w:p>
          <w:p w:rsidR="001B5DCA" w:rsidRPr="00ED1371" w:rsidRDefault="001B5DCA" w:rsidP="00ED1F03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2019 год </w:t>
            </w:r>
          </w:p>
          <w:p w:rsidR="001B5DCA" w:rsidRPr="00ED1371" w:rsidRDefault="001B5DCA" w:rsidP="000A4584">
            <w:pPr>
              <w:spacing w:after="119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2020 год </w:t>
            </w:r>
          </w:p>
        </w:tc>
      </w:tr>
      <w:tr w:rsidR="001B5DCA" w:rsidRPr="00ED1371" w:rsidTr="00961F52"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Ожидаемые результаты реализации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уровня профессиональной компетенции специалистов, осуществляющих работу в сфере государственной молодежной политики;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укрепление и развитие кадрового потенциала системы воспитания;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утверждение в детской среде позитивных моделей поведения как нормы, развитие эмпатии;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эффективности региональной системы профессиональной ориентации учащихся старших классов общеобразовательных организаций;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включения их в разнообразные социально востребованные сферы деятельности и актуальные проекты;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модернизация содержания программ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современной региональной системы оценки качества дополнительного образования детей и молодежи;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государственно-частного партнерства в сфере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Pr="00ED1371" w:rsidRDefault="001B5DCA" w:rsidP="00ED1F03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</w:tr>
    </w:tbl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>
        <w:rPr>
          <w:rFonts w:ascii="Times New Roman" w:eastAsia="Times New Roman" w:hAnsi="Times New Roman"/>
          <w:b/>
          <w:bCs/>
          <w:sz w:val="24"/>
          <w:lang w:eastAsia="ar-SA"/>
        </w:rPr>
        <w:t xml:space="preserve">Кетовского района </w:t>
      </w:r>
    </w:p>
    <w:p w:rsidR="00125D66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На территории Кетовского района Курганской области проживает 20 788 человек от 5 до 30 лет, что составляет 34,1 % от общей численности населения. Из них 8 313 детей от 5 до 17 лет, 14 550 – молодежь от 14 до 30 лет. Из них 3 112 дошкольников, 6 748 человек – школьники.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2015 году в Кетовском районе Курганской области функционируют 7  муниципальных учреждений дополнительного образования различной ведомственной принадлежности. Охват детей от 5 до 18 лет услугами дополнительного образования в общей численности детей этого возраста составил 62 %.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 настоящее время в Кетовском районе Курганской области сформирована система мер по реализации государственной молодежной политики. В Кетовском районе  принята  целевые программы, выделены ставки специалистов по работе с молодежью. В целях формирования гражданской позиции, развития социальной активности молодежи проводятся областные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 молодежи,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 детей и молодежи региона, поддержку движения студенческих отрядов; проводится работа по направлению талантливых молодых людей на окружные, всероссийские и международные мероприятия.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общеобразовательных организациях района  разрабатываются программы гражданского, патриотического, духовно-нравственного и физического воспитания, по формированию законопослушного поведения детей. </w:t>
      </w:r>
    </w:p>
    <w:p w:rsidR="001B5DCA" w:rsidRPr="00ED1371" w:rsidRDefault="001B5DCA">
      <w:pPr>
        <w:shd w:val="clear" w:color="auto" w:fill="FFFFFF"/>
        <w:spacing w:line="100" w:lineRule="atLeast"/>
        <w:ind w:firstLine="686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В системе профориентационной работы школ применяются новые формы работы, способствующие осознанному, информированному выбору выпускниками учебного заведения, выбору профессии. С целью создания интегрированной системы профессиональной ориентации и психологической поддержки учащихся, молодежи, отвечающей требованиям регионального рынка труда, с 2014 года реализуется региональный межведомственный проект «Профориентационный технопарк «Зауральский навигатор».</w:t>
      </w:r>
    </w:p>
    <w:p w:rsidR="001B5DCA" w:rsidRPr="00ED1371" w:rsidRDefault="001B5DCA">
      <w:pPr>
        <w:spacing w:line="100" w:lineRule="atLeast"/>
        <w:ind w:firstLine="686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С 2012 года в Кетовском районе Курганской области реализуется областной проект «Школа ответственного родительства». В рамках данного проекта создан виртуальный университет для родителей, уже обучено более 800 кандидатов в приемные родители. Новым вектором деятельности в данном направлении является формирование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lastRenderedPageBreak/>
        <w:t xml:space="preserve">ответственного отцовства. </w:t>
      </w:r>
      <w:r w:rsidRPr="00ED1371">
        <w:rPr>
          <w:rFonts w:ascii="Times New Roman" w:eastAsia="Times New Roman" w:hAnsi="Times New Roman"/>
          <w:color w:val="1C1C1C"/>
          <w:sz w:val="24"/>
          <w:shd w:val="clear" w:color="auto" w:fill="FFFFFF"/>
          <w:lang w:eastAsia="ar-SA"/>
        </w:rPr>
        <w:t xml:space="preserve">С этой целью в 2015 году район включился в разработку проекта «Ответственное отцовство»,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Согласно данным мониторинга положения молодежи в Кетовском районе можно отметить положительную динамику в работе с молодежью.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За 3 последних года увеличилось количество молодых людей, считающих, что алкоголь и табакокурение наносят вред здоровью, с 22 % до 50 %.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Число молодежи, системно занимающейся спортом, возросло с 26 % до 37,2 %.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Увеличивается число молодых людей, удовлетворенных существующей поддержкой молодежи государством, и составляет 53,4 %.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последние годы удалось достичь заметного улучшения социально-экономического положения молодежи. Уменьшилась смертность, усилилось стремление к ведению здорового образа жизни, снизился уровень молодежной безработицы и наметилось снижение преступности.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рамках реализации новых стандартов каждая школа разрабатывает основную образовательную программу, неотъемлемой частью которой является программа воспитания и социализации обучающихся, включающая в себя следующие приоритеты: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гражданско-патриотическое направление, ориентированное на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формирование у обучающихся активной гражданской позиции и патриотической ответственности за судьбу страны,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духовно-нравственное воспитание,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ценностных представлений о морали, об основных понятиях этики, представлений о духовных ценностях народов России, об истории развития и взаимодействия национальных культур, уважительного отношения к традициям, культуре и языку своего народа и других народов России;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 и направленное на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об информационной безопасности, о девиантном и делинквентном поведении, о влиянии на</w:t>
      </w:r>
      <w:r w:rsidRPr="00ED137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ED1371">
        <w:rPr>
          <w:rFonts w:ascii="Times New Roman" w:hAnsi="Times New Roman"/>
          <w:color w:val="000000"/>
          <w:sz w:val="24"/>
          <w:shd w:val="clear" w:color="auto" w:fill="FFFFFF"/>
        </w:rPr>
        <w:t>безопасность молодых людей отдельных молодежных субкультур, на  профилактику проявлений экстремизма;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здоровьесберегающее воспитание,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экологическое воспитание, ориентированное на формирование ценностного отношения к природе, к окружающей среде, экологической культуры, навыков безопасного поведения в природной и техногенной среде;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воспитание социально активной личности,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ориентированное на готовность и подготовленность обучающихся к сознательной активности и самостоятельной творческой деятельности, позволяющей им ставить и решать задачи;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lastRenderedPageBreak/>
        <w:t>воспитание семейных ценностей, ориентированное на содействие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деятельность, ориентированная на готовность обучающихся к осознанному выбору профессии.</w:t>
      </w:r>
    </w:p>
    <w:p w:rsidR="001B5DCA" w:rsidRPr="00ED1371" w:rsidRDefault="001B5DCA">
      <w:pPr>
        <w:spacing w:line="100" w:lineRule="atLeast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Увеличивается количество и обновляется содержание образовательных программ дополнительного образования детей и молодежи. Реализуются 6 авторских дополнительных общеобразовательных программ: «Будущий Я», «СемьЯ», «Созидательный Я», «Социальный Я», «Школа лидера», «Школа будущего избирателя».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Вводятся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ЗD-моделирования и другие. Возрастает активность подростков и молодежи в использовании образовательных ресурсов информационно-телекоммуникационной сети «Интернет», в том числе массовых открытых онлайн-курсов, видеоуроков очно-заочных школ. 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 районе реализуется отдельный комплекс мер для развития дополнительного образования детей и молодежи в сфере научно-технического творчества в Курганской области на 2015-2016 годы. Реализуются областные проекты «Академия РОСТа», «Зауральский навигатор», «Агробизнес образование» и другие.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По результатам проводимых опросов, около 50 % родителей отмечают, что именно в системе дополнительного образования ребенку удалось проявить свои способности и развить талант.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Вместе с тем система дополнительного образования Кетовского района Курганской области требует серьезных преобразований. Особенно остро стоят проблемы: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недоработанности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 районных нормативных требований и финансово-экономических механизмов обеспечения доступности услуг дополнительного образования;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неравномерного охвата детей услугами дополнительного образования в различных селах района;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несоответствия большинства дополнительных общеобразовательных программ современным запросам детей по содержанию и технологиям реализации, а также приоритетам социально-экономического развития региона;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недостатка программ технической направленности, программ для детей и молодежи особых категорий (в том числе для детей с ограниченными возможностями здоровья, одаренных);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отставания темпов развития материально-технической базы учреждений дополнительного образования от темпов развития современной науки, техники, технологии;</w:t>
      </w:r>
    </w:p>
    <w:p w:rsidR="001B5DCA" w:rsidRPr="00ED1371" w:rsidRDefault="001B5DCA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возрастающего дефицита квалифицированных кадров, связанного со старением педагогических, методических и руководящих кадров отрасли.</w:t>
      </w:r>
    </w:p>
    <w:p w:rsidR="001B5DCA" w:rsidRPr="00ED1371" w:rsidRDefault="001B5DCA" w:rsidP="009D2808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В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 решении задач воспитания также остаются нерешенными следующие проблемы: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низкая родительская активность в общественном управлении общеобразовательной организацией;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отсутствие качественной педагогической поддержки процесса профессионального самоопределения обучающихся;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недостаточный уровень этического, гражданско-патриотического, культурно-эстетического развития детей и подростков, что иногда приводит к возникновению межэтнической и межконфессиональной напряженности, агрессивности, к асоциальным проявлениям.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Существует также тенденция нарастания следующих негативных факторов в </w:t>
      </w:r>
      <w:r w:rsidRPr="00ED1371">
        <w:rPr>
          <w:rFonts w:ascii="Times New Roman" w:eastAsia="Times New Roman" w:hAnsi="Times New Roman"/>
          <w:sz w:val="24"/>
          <w:lang w:eastAsia="ar-SA"/>
        </w:rPr>
        <w:lastRenderedPageBreak/>
        <w:t>молодежной среде: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деструктивное информационное воздействие на молодежь, следствием которого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снижение численности молодежи вследствие демографических проблем прошлых лет и высокого уровня миграции молодежи оказывает отрицательное влияние на социально-экономическое развитие региона;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дефицит молодых специалистов технических специальностей, агропромышленного комплекса, педагогических и медицинских кадров, </w:t>
      </w:r>
      <w:r w:rsidRPr="00ED1371">
        <w:rPr>
          <w:rFonts w:ascii="Times New Roman" w:eastAsia="Times New Roman" w:hAnsi="Times New Roman"/>
          <w:sz w:val="24"/>
          <w:lang w:eastAsia="ar-SA"/>
        </w:rPr>
        <w:t xml:space="preserve">особо остро стоит проблема нехватки активной и инициативной молодежи в сельской местности; </w:t>
      </w:r>
    </w:p>
    <w:p w:rsidR="001B5DCA" w:rsidRPr="00ED1371" w:rsidRDefault="001B5DCA">
      <w:pPr>
        <w:spacing w:line="100" w:lineRule="atLeast"/>
        <w:ind w:firstLine="765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сохраняется низкий уровень интереса молодежи к научной, творческой деятельности. Одной из причин данной проблемы является несовершенство системы выявления, продвижения и поддержки обладающей лидерскими навыками, инициативной и талантливой молодежи.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Для решения существующих проблем необходима дальнейшая интеграция ресурсов сфер дополнительного образования, воспитания и молодежной политики: переход к единому управлению, объединение финансовых ресурсов, разработка единого календаря массовых мероприятий. Необходимо осуществить переход на систему нормативно- подушевого финансирования, обновить содержание деятельности организаций дополнительного образования детей и молодежи Кетовского района. Актуальной остается системная работа по подготовке, переподготовке и повышению квалификации кадров в сферах молодежной политики, воспитания и дополнительного образования. 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Приоритеты и цели в сфере государственной молодежной политики, воспитания и дополнительного образования Кетовского района Курганской области на период до 2020 года сформированы с учетом целей и задач, поставленных в следующих стратегических документах федерального и регионального уровней: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Государственная программа Российской Федерации «Развитие образования»</w:t>
      </w: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br/>
        <w:t xml:space="preserve">на 2013-2020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постановлением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Правительства Российской Федерации от 15 апреля 2014 года № 295;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Концепция Федеральной целевой программы развития образования</w:t>
      </w:r>
      <w:r w:rsidRPr="00ED1371">
        <w:rPr>
          <w:rFonts w:ascii="Times New Roman" w:eastAsia="Times New Roman" w:hAnsi="Times New Roman"/>
          <w:sz w:val="24"/>
          <w:lang w:eastAsia="ar-SA"/>
        </w:rPr>
        <w:br/>
        <w:t xml:space="preserve">на 2016-2020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декабря 2014 года № 2765-р;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Федеральная целевая программа развития образования на 2016-2020 годы,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постановлением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23 мая 2015 года № 497;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Основы государственной молодежной политики Российской Федерации на период до 2025 года, утвержденные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ноября 2014 года № 2403-р;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Стратегия развития воспитания в Российской Федерации на период до 2025 года,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29 мая 2015 года № 996-р;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 xml:space="preserve">Концепция развития дополнительного образования детей, утвержденная </w:t>
      </w:r>
      <w:hyperlink w:anchor="sub_0" w:history="1">
        <w:r w:rsidRPr="00ED1371">
          <w:rPr>
            <w:rStyle w:val="a7"/>
            <w:rFonts w:ascii="Times New Roman" w:eastAsia="Times New Roman" w:hAnsi="Times New Roman"/>
            <w:color w:val="000000"/>
            <w:sz w:val="24"/>
            <w:lang w:val="ru-RU" w:eastAsia="ar-SA" w:bidi="ar-SA"/>
          </w:rPr>
          <w:t>распоряжением</w:t>
        </w:r>
      </w:hyperlink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ED1371">
        <w:rPr>
          <w:rFonts w:ascii="Times New Roman" w:eastAsia="Times New Roman" w:hAnsi="Times New Roman"/>
          <w:sz w:val="24"/>
          <w:lang w:eastAsia="ar-SA"/>
        </w:rPr>
        <w:t>Правительства Российской Федерации от 4 сентября 2014 года № 1726-р;</w:t>
      </w:r>
    </w:p>
    <w:p w:rsidR="001B5DCA" w:rsidRPr="00ED1371" w:rsidRDefault="001B5DCA" w:rsidP="00BB15CA">
      <w:pPr>
        <w:keepNext/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Программа социально-экономического развития Курганской области на 2015 год и среднесрочную перспективу, утвержденная Законом Курганской области</w:t>
      </w:r>
      <w:r w:rsidRPr="00ED1371">
        <w:rPr>
          <w:rFonts w:ascii="Times New Roman" w:eastAsia="Times New Roman" w:hAnsi="Times New Roman"/>
          <w:sz w:val="24"/>
          <w:lang w:eastAsia="ar-SA"/>
        </w:rPr>
        <w:br/>
        <w:t>от 28 ноября 2014 года № 86;</w:t>
      </w:r>
    </w:p>
    <w:p w:rsidR="001B5DCA" w:rsidRPr="00ED1371" w:rsidRDefault="001B5DCA" w:rsidP="00BB15CA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системе единого образовательного пространства Курганской области, </w:t>
      </w: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lastRenderedPageBreak/>
        <w:t>включающего в себя сферы государственной молодежной политики, воспитания и дополнительного образования Курганской области, приоритетами являются развитие и повышение эффективности каждой компоненты за счет единого управления, интеграции инфраструктуры и консолидации финансовых ресурсов.</w:t>
      </w:r>
    </w:p>
    <w:p w:rsidR="001B5DCA" w:rsidRDefault="001B5DCA">
      <w:pPr>
        <w:shd w:val="clear" w:color="auto" w:fill="FFFFFF"/>
        <w:spacing w:before="28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Целью подпрограммы является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области и государства в целом;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развитие воспитательной компоненты в общеобразовательных организациях;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совершенствование моделей и механизмов развития эффективной системы дополнительного образования детей и молодежи.</w:t>
      </w:r>
    </w:p>
    <w:p w:rsidR="001B5DCA" w:rsidRPr="00ED137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ED1371" w:rsidRDefault="001B5DCA">
      <w:pPr>
        <w:spacing w:before="280" w:line="100" w:lineRule="atLeast"/>
        <w:ind w:firstLine="709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ED137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sz w:val="24"/>
          <w:lang w:eastAsia="ar-SA"/>
        </w:rPr>
        <w:t>В результате реализации подпрограммы будут достигнуты следующие результаты: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вовлечение детей и молодежи в позитивную социальную деятельность, рост числа патриотически настроенных молодых граждан;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приобщение наибольшего количества молодых граждан к здоровому образу жизни, увеличение числа спортивных клубов и их участников;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социальной активности молодых людей, проживающих на территории Курганской области;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увеличение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увеличение числа позитивно настроенных молодых граждан, одобряющих действующие меры государственной молодежной политики;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механизмов стимулирования молодежного творчества, профессионального и личностного развития;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уровня профессиональной компетенции специалистов, осуществляющих работу в сфере государственной молодежной политики;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укрепление и развитие кадрового потенциала системы воспитания;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 xml:space="preserve">обеспечение укрепления партнерских отношений на межведомственной основе с социальными институтами воспитания и социализации несовершеннолетних,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утверждение в детской среде позитивных моделей поведения как нормы, развитие эмпатии;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повышение эффективности региональной системы профессиональной ориентации учащихся старших классов общеобразовательных организаций;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</w:t>
      </w: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lastRenderedPageBreak/>
        <w:t>воспитания;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модернизация содержания программ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создание современной региональной системы оценки качества дополнительного образования детей и молодежи;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>развитие государственно-частного партнерства в сфере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увеличение количества молодых людей от 18 до 30 лет, получающих услуги дополнительного образования;</w:t>
      </w:r>
    </w:p>
    <w:p w:rsidR="001B5DCA" w:rsidRPr="00ED1371" w:rsidRDefault="001B5DCA" w:rsidP="00125D66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color w:val="000000"/>
          <w:sz w:val="24"/>
          <w:lang w:eastAsia="ar-SA"/>
        </w:rPr>
        <w:t>повышение социального статуса и профессиональной компетентности педагога дополнительного образования.</w:t>
      </w:r>
    </w:p>
    <w:p w:rsidR="001B5DCA" w:rsidRPr="00ED137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ED1371" w:rsidRDefault="001B5DCA" w:rsidP="00961F52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961F52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Times New Roman" w:hAnsi="Times New Roman"/>
          <w:sz w:val="24"/>
          <w:lang w:eastAsia="ar-SA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410"/>
        <w:gridCol w:w="1545"/>
        <w:gridCol w:w="5100"/>
        <w:gridCol w:w="2016"/>
      </w:tblGrid>
      <w:tr w:rsidR="001B5DCA" w:rsidRPr="00ED1371">
        <w:trPr>
          <w:tblHeader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>
        <w:trPr>
          <w:trHeight w:val="366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1. Р</w:t>
            </w: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азвитие эффективной системы социализации и самореализации молодежи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4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Гражданско-патриотическое воспитание, формирование системы ценностей и национально-государственной идентичности, в том числе развитие кадетского движения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Вовлечение детей и молодежи в позитивную социальную деятельность, рост числа патриотически настроенных молодых граждан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25D66" w:rsidRDefault="001B5DCA" w:rsidP="00125D66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</w:t>
            </w:r>
            <w:r w:rsidR="00125D66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, </w:t>
            </w:r>
          </w:p>
          <w:p w:rsidR="001B5DCA" w:rsidRPr="00ED1371" w:rsidRDefault="001B5DCA" w:rsidP="00125D66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5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Приобщение наибольшего количества молодых граждан к здоровому образу жизни, увеличение числа спортивных клубов и их участников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125D66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согласованию),</w:t>
            </w:r>
          </w:p>
          <w:p w:rsidR="001B5DCA" w:rsidRPr="00ED1371" w:rsidRDefault="001B5DCA" w:rsidP="00125D66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6"/>
              </w:numPr>
              <w:snapToGrid w:val="0"/>
              <w:spacing w:line="100" w:lineRule="atLeast"/>
              <w:ind w:left="0" w:firstLine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1B5DCA" w:rsidRPr="00ED1371" w:rsidRDefault="001B5DCA" w:rsidP="00125D66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1B5DCA" w:rsidRPr="00ED1371" w:rsidRDefault="001B5DCA" w:rsidP="00125D66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Развитие информационного поля, благоприятного для развития молодежи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позитивно настроенных молодых граждан, одобряющих действующие меры государственной молодежной политики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after="119"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 w:hanging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Выявление и</w:t>
            </w:r>
            <w:r w:rsidR="00E170A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поддержка талантливой молодежи. </w:t>
            </w:r>
            <w:r w:rsidR="00E170AD" w:rsidRPr="00ED1371">
              <w:rPr>
                <w:rFonts w:ascii="Times New Roman" w:hAnsi="Times New Roman"/>
                <w:sz w:val="24"/>
              </w:rPr>
              <w:t xml:space="preserve">Организация и проведение торжественной церемонии вручения  </w:t>
            </w:r>
            <w:r w:rsidR="00E170AD">
              <w:rPr>
                <w:rFonts w:ascii="Times New Roman" w:hAnsi="Times New Roman"/>
                <w:sz w:val="24"/>
              </w:rPr>
              <w:t xml:space="preserve">молодежных </w:t>
            </w:r>
            <w:r w:rsidR="00E170AD" w:rsidRPr="00ED1371">
              <w:rPr>
                <w:rFonts w:ascii="Times New Roman" w:hAnsi="Times New Roman"/>
                <w:sz w:val="24"/>
              </w:rPr>
              <w:t>премий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механизмов стимулирования молодежного творчества, профессионального и личностного развития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Администрация (по согласованию); ОК (по согласованию),</w:t>
            </w:r>
          </w:p>
          <w:p w:rsidR="001B5DCA" w:rsidRPr="00ED1371" w:rsidRDefault="001B5DCA" w:rsidP="0059253C">
            <w:pPr>
              <w:spacing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1B5DCA" w:rsidRPr="00ED1371">
        <w:trPr>
          <w:trHeight w:val="261"/>
        </w:trPr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35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Задача 2.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азвитие воспитательной компоненты в общеобразовательных организациях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numPr>
                <w:ilvl w:val="0"/>
                <w:numId w:val="31"/>
              </w:num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Внедрение современных управленческих механизмов в системе воспитательной деятельности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numPr>
                <w:ilvl w:val="0"/>
                <w:numId w:val="31"/>
              </w:num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Обновление содержания и методики организации воспитательной деятельности общеобразовательных организаций для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форумах, съездах в сфере воспитания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Укрепление и развитие кадрового потенциала системы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961F52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 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tabs>
                <w:tab w:val="left" w:pos="0"/>
              </w:tabs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Организация и проведение районных и областных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1B5DCA" w:rsidRPr="00ED1371" w:rsidRDefault="001B5DCA" w:rsidP="009D2808">
            <w:pPr>
              <w:shd w:val="clear" w:color="auto" w:fill="FFFFFF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 (по согласованию); ДЮЦ,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Развитие воспитательной компоненты в общеобразовательных организациях с учетом региональной специфики конфессионального и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этнокультурного многообразия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технопарк» «Зауральский навигатор»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эффективности районной системы профессиональной ориентации учащихся старших классов общеобразовательных организаций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ind w:left="-96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left="51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 </w:t>
            </w:r>
          </w:p>
          <w:p w:rsidR="001B5DCA" w:rsidRPr="00ED1371" w:rsidRDefault="001B5DCA" w:rsidP="0059253C">
            <w:pPr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организаций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 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A06231">
            <w:pPr>
              <w:snapToGrid w:val="0"/>
              <w:spacing w:line="100" w:lineRule="atLeast"/>
              <w:ind w:left="60" w:hanging="6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Правовое воспитание и культура безопасности, профилактика отклонений в поведении несовершеннолетних, включение их в социально значимую деятельность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в разнообразные социально востребованные сферы деятельности и актуальные проекты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КДН и ЗП (по согласованию),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ОВМД (по согласованию)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ПЧ (по согласованию),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ОК (по согласованию),</w:t>
            </w:r>
          </w:p>
          <w:p w:rsidR="001B5DCA" w:rsidRPr="00ED1371" w:rsidRDefault="001B5DCA" w:rsidP="009D2808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 (по согласованию)</w:t>
            </w:r>
          </w:p>
        </w:tc>
      </w:tr>
      <w:tr w:rsidR="001B5DCA" w:rsidRPr="00ED1371">
        <w:tc>
          <w:tcPr>
            <w:tcW w:w="1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Задача 3. Развитие эффективной системы дополнительного образования детей и молодежи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ОК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организационно-правовых, управленческих условий для реализации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1B5DCA" w:rsidRPr="00ED1371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18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Разработка и 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53C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1B5DCA" w:rsidRPr="00ED1371" w:rsidRDefault="001B5DCA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ФО </w:t>
            </w:r>
          </w:p>
          <w:p w:rsidR="001B5DCA" w:rsidRPr="00ED1371" w:rsidRDefault="001B5DCA">
            <w:pPr>
              <w:spacing w:before="280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19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Разработка и внедрение районной системы оценки качества дополнительного образования детей и молодежи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современной районной системы оценки качества дополнительного образования детей и молодежи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ДЮЦ, 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961F52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 (по согласованию)</w:t>
            </w:r>
          </w:p>
        </w:tc>
      </w:tr>
      <w:tr w:rsidR="001B5DCA" w:rsidRPr="00ED1371">
        <w:trPr>
          <w:trHeight w:val="769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Разработка и внедрение механизмов независимой оценки эффективности деятельности образовательных организаций, индивидуальных предпринимателей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государственно-частного партнерства в сфере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 (по согласованию),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06231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21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Увеличение количества молодых людей от 18 до 30 лет, получающих услуги дополнительного образования;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образования;</w:t>
            </w:r>
          </w:p>
          <w:p w:rsidR="001B5DCA" w:rsidRPr="00ED1371" w:rsidRDefault="001B5DCA" w:rsidP="0059253C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ОК (по согласованию),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ОМС (по согласованию)</w:t>
            </w:r>
          </w:p>
        </w:tc>
      </w:tr>
      <w:tr w:rsidR="001B5DCA" w:rsidRPr="00ED1371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Участие в межрегиональных, всероссийских, международных конкурсах, фестивалях, 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семинарах, конференциях, съездах в сфере дополнительного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Создание организационно-правовых, управленческих условий для реализации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дополнительного образования;</w:t>
            </w:r>
          </w:p>
          <w:p w:rsidR="001B5DCA" w:rsidRPr="00ED1371" w:rsidRDefault="001B5DCA" w:rsidP="009D2808">
            <w:pPr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59253C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ОК</w:t>
            </w:r>
            <w:r w:rsidR="0059253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9253C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</w:t>
            </w:r>
          </w:p>
          <w:p w:rsidR="001B5DCA" w:rsidRPr="00ED1371" w:rsidRDefault="001B5DCA" w:rsidP="0059253C">
            <w:pPr>
              <w:spacing w:after="119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ОМС (по согласованию)</w:t>
            </w:r>
          </w:p>
        </w:tc>
      </w:tr>
      <w:tr w:rsidR="001B5DCA" w:rsidRPr="00ED1371" w:rsidTr="009D2808">
        <w:trPr>
          <w:trHeight w:val="1127"/>
        </w:trPr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</w:t>
            </w:r>
            <w:r w:rsidR="00A06231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2016-2020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1B5DCA" w:rsidRPr="00ED1371" w:rsidRDefault="001B5DCA" w:rsidP="0059253C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</w:p>
          <w:p w:rsidR="001B5DCA" w:rsidRPr="00ED1371" w:rsidRDefault="0059253C" w:rsidP="0059253C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</w:tbl>
    <w:p w:rsidR="001B5DCA" w:rsidRPr="00ED1371" w:rsidRDefault="001B5DCA">
      <w:pPr>
        <w:snapToGrid w:val="0"/>
        <w:jc w:val="center"/>
        <w:rPr>
          <w:rFonts w:ascii="Times New Roman" w:eastAsia="Times New Roman" w:hAnsi="Times New Roman"/>
          <w:color w:val="000000"/>
          <w:spacing w:val="-4"/>
          <w:sz w:val="24"/>
        </w:rPr>
        <w:sectPr w:rsidR="001B5DCA" w:rsidRPr="00ED1371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4323"/>
        <w:gridCol w:w="843"/>
        <w:gridCol w:w="915"/>
        <w:gridCol w:w="945"/>
        <w:gridCol w:w="930"/>
        <w:gridCol w:w="874"/>
      </w:tblGrid>
      <w:tr w:rsidR="001B5DCA" w:rsidRPr="00ED1371" w:rsidTr="00961F52">
        <w:trPr>
          <w:tblHeader/>
        </w:trPr>
        <w:tc>
          <w:tcPr>
            <w:tcW w:w="6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1B5DCA" w:rsidRPr="00ED1371" w:rsidTr="00961F52">
        <w:trPr>
          <w:trHeight w:val="528"/>
          <w:tblHeader/>
        </w:trPr>
        <w:tc>
          <w:tcPr>
            <w:tcW w:w="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2019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2020 год</w:t>
            </w:r>
          </w:p>
        </w:tc>
      </w:tr>
      <w:tr w:rsidR="001B5DCA" w:rsidRPr="00ED1371" w:rsidTr="00961F52">
        <w:trPr>
          <w:trHeight w:val="1590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49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Кетовского района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34,5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Число молодых людей, вовлеченных в региональные проекты поддержки талантливой молодежи (человек)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370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390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400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Доля обучающихся общеобразовательных организаций,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у которых сформирована способность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к осознанному выбору профессии,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>от общей численности обучающихся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br/>
              <w:t xml:space="preserve">9-11 классов общеобразовательных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br/>
              <w:t>в общей численности детей и молодежи от 5 до 18 лет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Доля родителей, удовлетворенных качеством услуг дополнительного образования (процент) 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90</w:t>
            </w:r>
          </w:p>
        </w:tc>
      </w:tr>
      <w:tr w:rsidR="001B5DCA" w:rsidRPr="00ED1371" w:rsidTr="00961F52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hd w:val="clear" w:color="auto" w:fill="FFFFFF"/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детей, работающих в образовательных организациях дополнительного образования детей, в возрасте до 35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35.5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36.6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37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961F52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4125"/>
        <w:gridCol w:w="1825"/>
        <w:gridCol w:w="1687"/>
        <w:gridCol w:w="1263"/>
        <w:gridCol w:w="1100"/>
        <w:gridCol w:w="1036"/>
        <w:gridCol w:w="1063"/>
        <w:gridCol w:w="1087"/>
        <w:gridCol w:w="1128"/>
      </w:tblGrid>
      <w:tr w:rsidR="001B5DCA" w:rsidRPr="00ED1371">
        <w:trPr>
          <w:tblHeader/>
        </w:trPr>
        <w:tc>
          <w:tcPr>
            <w:tcW w:w="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>
        <w:trPr>
          <w:trHeight w:val="775"/>
          <w:tblHeader/>
        </w:trPr>
        <w:tc>
          <w:tcPr>
            <w:tcW w:w="5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0E4F0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Задача 1.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азвитие эффективной системы социализации и самореализации молодежи, развития ее потенциала.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 у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молодежи;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обучения;</w:t>
            </w:r>
          </w:p>
          <w:p w:rsidR="001B5DCA" w:rsidRPr="00ED1371" w:rsidRDefault="001B5DCA" w:rsidP="000E4F09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число молодых людей, вовлеченных в региональные проекты поддержки талантливой молодежи</w:t>
            </w:r>
          </w:p>
        </w:tc>
      </w:tr>
      <w:tr w:rsidR="001B5DCA" w:rsidRPr="00ED1371">
        <w:trPr>
          <w:trHeight w:val="33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E4F0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1B5DCA" w:rsidRPr="00ED1371" w:rsidRDefault="001B5DCA" w:rsidP="000E4F09">
            <w:pPr>
              <w:spacing w:after="119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34D81" w:rsidP="000E4F09">
            <w:pPr>
              <w:spacing w:line="21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21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 w:rsidTr="00834D81">
        <w:trPr>
          <w:trHeight w:val="85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культуры здорового образа жизни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34D8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407F23" w:rsidRPr="00ED1371" w:rsidTr="00834D81">
        <w:trPr>
          <w:trHeight w:val="855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информационного поля, благоприятного для развития молодежи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4D20D9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 w:rsidP="004D20D9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F23" w:rsidRPr="00ED1371" w:rsidRDefault="00407F23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07F2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Выявление и поддержка талантливой молодежи</w:t>
            </w:r>
            <w:r w:rsidR="00834D8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.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834D81" w:rsidRPr="00ED1371">
              <w:rPr>
                <w:rFonts w:ascii="Times New Roman" w:hAnsi="Times New Roman"/>
                <w:sz w:val="24"/>
              </w:rPr>
              <w:t xml:space="preserve">Организация и проведение торжественной церемонии вручения  </w:t>
            </w:r>
            <w:r w:rsidR="00834D81">
              <w:rPr>
                <w:rFonts w:ascii="Times New Roman" w:hAnsi="Times New Roman"/>
                <w:sz w:val="24"/>
              </w:rPr>
              <w:lastRenderedPageBreak/>
              <w:t xml:space="preserve">молодежных </w:t>
            </w:r>
            <w:r w:rsidR="00834D81" w:rsidRPr="00ED1371">
              <w:rPr>
                <w:rFonts w:ascii="Times New Roman" w:hAnsi="Times New Roman"/>
                <w:sz w:val="24"/>
              </w:rPr>
              <w:t>премий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5F3BA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Задача 2. Р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азвитие воспитательной компоненты в общеобразовательных организациях.</w:t>
            </w:r>
          </w:p>
          <w:p w:rsidR="001B5DCA" w:rsidRPr="00ED1371" w:rsidRDefault="001B5DCA" w:rsidP="005F3BA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д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оля обучающихся общеобразовательных организаций, вовлеченных в работу органов ученического самоуправления, от общего числа обучающихся общеобразовательных организаций;</w:t>
            </w:r>
          </w:p>
          <w:p w:rsidR="001B5DCA" w:rsidRPr="00ED1371" w:rsidRDefault="001B5DCA" w:rsidP="005F3BAF">
            <w:pPr>
              <w:spacing w:line="100" w:lineRule="atLeast"/>
              <w:ind w:right="6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 w:rsidP="005F3BAF">
            <w:pPr>
              <w:spacing w:line="100" w:lineRule="atLeast"/>
              <w:ind w:right="6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</w:t>
            </w: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F3BA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138,1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31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107,1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Содействие развитию детских и молодежных общественных объединений и органов ученического самоуправления общеобразовательных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организаций</w:t>
            </w:r>
            <w:r w:rsidR="005F3BA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.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5F3BAF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8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межведомственного проекта «Профориентационный технопарк «Зауральский навигатор»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F3BAF" w:rsidP="00ED1F03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05685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Задача 3.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Развитие эффективной системы дополнительного образования детей и молодежи.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Целевые индикаторы: 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лет;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родителей, удовлетворенных качеством услуг дополнительного образования;</w:t>
            </w:r>
          </w:p>
          <w:p w:rsidR="001B5DCA" w:rsidRPr="00ED1371" w:rsidRDefault="001B5DCA" w:rsidP="0005685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доля педагогических работников дополнительного образования детей в возрасте до 35 лет</w:t>
            </w:r>
          </w:p>
        </w:tc>
      </w:tr>
      <w:tr w:rsidR="001B5DCA" w:rsidRPr="00ED1371" w:rsidTr="0005685D">
        <w:trPr>
          <w:trHeight w:val="571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58746,2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11118,4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 w:rsidP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13803,8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6F2FA2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6F2FA2">
              <w:rPr>
                <w:rFonts w:ascii="Times New Roman" w:eastAsia="Times New Roman" w:hAnsi="Times New Roman"/>
                <w:sz w:val="24"/>
                <w:lang w:eastAsia="ar-SA"/>
              </w:rPr>
              <w:t>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</w:t>
            </w:r>
            <w:r w:rsidR="001B5DCA"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9253C" w:rsidP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5685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</w:t>
            </w:r>
          </w:p>
          <w:p w:rsidR="001B5DCA" w:rsidRPr="00ED1371" w:rsidRDefault="001B5DCA" w:rsidP="0005685D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before="28"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59253C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Организация подготовки, переподготовки и повышения квалификации специалистов сферы </w:t>
            </w: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дополнительного образования детей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5685D" w:rsidP="0005685D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</w:t>
            </w:r>
            <w:r w:rsidR="001B5DCA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й</w:t>
            </w:r>
          </w:p>
          <w:p w:rsidR="001B5DCA" w:rsidRPr="00ED1371" w:rsidRDefault="001B5DCA" w:rsidP="0005685D">
            <w:pPr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1B5DCA" w:rsidRPr="00ED1371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</w:t>
            </w:r>
            <w:r w:rsidR="0005685D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59253C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 бюджет</w:t>
            </w:r>
            <w:r w:rsidR="0005685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 р</w:t>
            </w:r>
            <w:r w:rsidR="0005685D" w:rsidRPr="00ED1371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3207AE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64178,9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14530,6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3207AE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3207AE">
              <w:rPr>
                <w:rFonts w:ascii="Times New Roman" w:eastAsia="Times New Roman" w:hAnsi="Times New Roman"/>
                <w:sz w:val="24"/>
                <w:lang w:eastAsia="ar-SA"/>
              </w:rPr>
              <w:t>13910,9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58884,3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9236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11149,4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13910,9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14562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07AE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10026</w:t>
            </w:r>
          </w:p>
        </w:tc>
      </w:tr>
      <w:tr w:rsidR="001B5DCA" w:rsidRPr="00ED137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ED1371">
              <w:rPr>
                <w:rFonts w:ascii="Times New Roman" w:eastAsia="Times New Roman" w:hAnsi="Times New Roman"/>
                <w:sz w:val="24"/>
                <w:lang w:eastAsia="ar-SA"/>
              </w:rPr>
              <w:t>5294,6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spacing w:after="119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                                                             </w:t>
      </w:r>
      <w:r w:rsidR="00760C24" w:rsidRPr="00ED1371">
        <w:rPr>
          <w:rFonts w:ascii="Times New Roman" w:hAnsi="Times New Roman"/>
          <w:sz w:val="24"/>
        </w:rPr>
        <w:t xml:space="preserve">         </w:t>
      </w:r>
      <w:r w:rsidR="00DE3617">
        <w:rPr>
          <w:rFonts w:ascii="Times New Roman" w:hAnsi="Times New Roman"/>
          <w:sz w:val="24"/>
        </w:rPr>
        <w:tab/>
        <w:t xml:space="preserve">       </w:t>
      </w:r>
      <w:r w:rsidR="00760C24" w:rsidRPr="00ED1371">
        <w:rPr>
          <w:rFonts w:ascii="Times New Roman" w:hAnsi="Times New Roman"/>
          <w:sz w:val="24"/>
        </w:rPr>
        <w:t>Приложение 3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муниципальной программе Кетовского  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района «Развитие образования и реализация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 2016-2020 годы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pStyle w:val="a1"/>
        <w:ind w:left="75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Pr="00ED1371" w:rsidRDefault="001B5DCA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386"/>
      </w:tblGrid>
      <w:tr w:rsidR="001B5DCA" w:rsidRPr="00ED137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Подпрограмма «Кадровое обеспечение системы образования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района»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(далее – подпрограмма) 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Управление народного образования администрации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 (далее – УНО)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DE3617" w:rsidP="00ED1F03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бразовательные учреждения (далее - ОУ), подведомственные УНО</w:t>
            </w:r>
          </w:p>
        </w:tc>
      </w:tr>
      <w:tr w:rsidR="001B5DCA" w:rsidRPr="00ED137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 w:rsidRPr="00ED137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реализация комплекса мер по привлечению и закреплению молодых специалистов в системе образования 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1B5DCA" w:rsidRPr="00ED1371" w:rsidRDefault="001B5DCA" w:rsidP="00ED1F0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 w:rsidRPr="00ED1371">
              <w:rPr>
                <w:rStyle w:val="31"/>
                <w:rFonts w:ascii="Times New Roman" w:eastAsia="Arial" w:hAnsi="Times New Roman"/>
                <w:color w:val="000000"/>
                <w:spacing w:val="-4"/>
                <w:sz w:val="24"/>
              </w:rPr>
              <w:t>Кетовского района</w:t>
            </w:r>
          </w:p>
        </w:tc>
      </w:tr>
      <w:tr w:rsidR="001B5DCA" w:rsidRPr="00ED137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Доля молодых специалистов, трудоустроившихся в образовательные организации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(процент);</w:t>
            </w:r>
          </w:p>
          <w:p w:rsidR="001B5DCA" w:rsidRPr="00ED1371" w:rsidRDefault="001B5DCA" w:rsidP="00ED1F0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педагогических работников образовательных организаций, прошедших переподготовку или повышение квалификации по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Курганской области (процент)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2016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-2020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годы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999,7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</w:t>
            </w:r>
            <w:r w:rsidRPr="00ED137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200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27</w:t>
            </w:r>
            <w:r w:rsidRPr="00ED1371">
              <w:rPr>
                <w:rFonts w:ascii="Times New Roman" w:hAnsi="Times New Roman"/>
                <w:sz w:val="24"/>
              </w:rPr>
              <w:t>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309,7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2019 год </w:t>
            </w:r>
            <w:r w:rsidR="005F77CC">
              <w:rPr>
                <w:rFonts w:ascii="Times New Roman" w:hAnsi="Times New Roman"/>
                <w:sz w:val="24"/>
              </w:rPr>
              <w:t>– 120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год </w:t>
            </w:r>
            <w:r w:rsidR="005F77CC">
              <w:rPr>
                <w:rFonts w:ascii="Times New Roman" w:hAnsi="Times New Roman"/>
                <w:sz w:val="24"/>
              </w:rPr>
              <w:t>– 100 тысяч рублей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4</w:t>
            </w:r>
            <w:r w:rsidR="005F77CC">
              <w:rPr>
                <w:rFonts w:ascii="Times New Roman" w:hAnsi="Times New Roman"/>
                <w:sz w:val="24"/>
              </w:rPr>
              <w:t>8678,8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</w:t>
            </w:r>
            <w:r w:rsidRPr="00ED137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43980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650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5F77CC">
              <w:rPr>
                <w:rFonts w:ascii="Times New Roman" w:hAnsi="Times New Roman"/>
                <w:sz w:val="24"/>
              </w:rPr>
              <w:t>801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ED1371" w:rsidRDefault="001B5DCA" w:rsidP="00ED1F03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2019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0A4584" w:rsidRPr="00ED1371">
              <w:rPr>
                <w:rFonts w:ascii="Times New Roman" w:hAnsi="Times New Roman"/>
                <w:sz w:val="24"/>
              </w:rPr>
              <w:t>1</w:t>
            </w:r>
            <w:r w:rsidR="005F77CC">
              <w:rPr>
                <w:rFonts w:ascii="Times New Roman" w:hAnsi="Times New Roman"/>
                <w:sz w:val="24"/>
              </w:rPr>
              <w:t xml:space="preserve">623,9 </w:t>
            </w:r>
            <w:r w:rsidRPr="00ED137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ED1371" w:rsidRDefault="001B5DCA" w:rsidP="005F77CC">
            <w:pPr>
              <w:pStyle w:val="af4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2020 год – </w:t>
            </w:r>
            <w:r w:rsidR="000A4584" w:rsidRPr="00ED1371">
              <w:rPr>
                <w:rFonts w:ascii="Times New Roman" w:hAnsi="Times New Roman"/>
                <w:color w:val="000000"/>
                <w:sz w:val="24"/>
              </w:rPr>
              <w:t>1</w:t>
            </w:r>
            <w:r w:rsidR="005F77CC">
              <w:rPr>
                <w:rFonts w:ascii="Times New Roman" w:hAnsi="Times New Roman"/>
                <w:color w:val="000000"/>
                <w:sz w:val="24"/>
              </w:rPr>
              <w:t>623,9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тысяч</w:t>
            </w:r>
            <w:r w:rsidR="004434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закрепление молодых специалистов в системе образования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1B5DCA" w:rsidRPr="00ED1371" w:rsidRDefault="001B5DCA" w:rsidP="00ED1F03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  <w:lang w:val="ru-RU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1B5DCA" w:rsidRPr="00ED1371" w:rsidRDefault="001B5DCA" w:rsidP="00ED1F03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комплексной программы повышения профессионального уровня педагогических работников общеобразовательных организаций;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инфраструктуры, обеспечивающей хранение данных об образовательных достижениях граждан и работников (образовательный паспорт);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1B5DCA" w:rsidRPr="00ED137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обобщение и распространение инновационного педагогического опыта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района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Система образования Кетовского района в 2015 году составляет 1724 чел., из них 49 чел. – руководящие работники (24 — руководители школ), 806 чел. –  педагогические работники (474 — педагоги школ), в том числе 424чел. – учителя, 36 чел. – учебно-вспомогательный персонал школ, 126 чел. – обслуживающий персонал школ.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Высшее образование имеют 336 педагогических работника школ, из них 311 – учителя.  Доля учителей, имеющих высшее педагогическое образование, в 2015 году  составила 70,9 % (в 2013г. - 68,9%, в 2014г. - 71,5% ).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образовательных учреждениях Кетовского района ежегодно увеличивается доля учителей пенсионного возраста. Так, в 2013 году она составляла – 24 %, в 2014  году – 28,8 %, в 2015 году — 32,3 %.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 этом доля учителей в возрасте до 35 лет на протяжении последних трех лет остается не большой: 22,4% в  2013г., 22,6% - в 2014г., в 2015г. составляет 21,6 % от общего количества учителей системы образования Кетовского района.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Процент учителей со стажем до 5 лет в 2015 году составляет 14,8 %.</w:t>
      </w:r>
    </w:p>
    <w:p w:rsidR="001B5DCA" w:rsidRPr="00ED1371" w:rsidRDefault="001B5DCA">
      <w:pPr>
        <w:pStyle w:val="af4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В настоящее время потребность в молодых спе</w:t>
      </w:r>
      <w:r w:rsidRPr="00ED1371">
        <w:rPr>
          <w:rFonts w:ascii="Times New Roman" w:hAnsi="Times New Roman"/>
          <w:sz w:val="24"/>
        </w:rPr>
        <w:t xml:space="preserve">циалистах достаточно высока. Максимальную потребность образовательные организации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  <w:r w:rsidRPr="00ED1371">
        <w:rPr>
          <w:rFonts w:ascii="Times New Roman" w:hAnsi="Times New Roman"/>
          <w:sz w:val="24"/>
        </w:rPr>
        <w:t xml:space="preserve"> испытывают в учителях русского и иностранного языков, математики, физики и химии, начальных классов.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С учетом процента учителей пенсионного возраста ежегодно необходимо трудоустройство порядка 15-20 молодых специалистов в образовательные организации  </w:t>
      </w:r>
      <w:r w:rsidRPr="00ED1371">
        <w:rPr>
          <w:rFonts w:ascii="Times New Roman" w:hAnsi="Times New Roman"/>
          <w:color w:val="000000"/>
          <w:sz w:val="24"/>
        </w:rPr>
        <w:t>Кетовского района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которая невозможна без систематического повышения квалификации через специальные курсы и через постоянное самообразование.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Повышение профессионально-педагогической компетентности педагогических работников района осуществляется как на курсах повышения квалификации, так и на учебно-практических семинарах, организуемых районными методическими объединениями,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ВПО «Курганский государственный университет», ГБОУ ВПО «Шадринский государственный педагогический институт», ГБОУ СПО «Курганский педагогический колледж».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Важнейшим направлением деятельности УНО Кетовского района остается организация процедуры аттестации педагогических работников как действенного </w:t>
      </w:r>
      <w:r w:rsidRPr="00ED1371">
        <w:rPr>
          <w:rFonts w:ascii="Times New Roman" w:hAnsi="Times New Roman"/>
          <w:sz w:val="24"/>
        </w:rPr>
        <w:lastRenderedPageBreak/>
        <w:t xml:space="preserve">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района, а также обеспечивающего возможность повышения уровня оплаты труда в условиях введения новой системы оплаты труда педагогическим работникам и перехода на «эффективные контракты».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указами Президента Российской Федерации от 7 мая 2012 года № 597                  «О мероприятиях по реализации государственной социальной политики»,                      от 7 мая  2012 года № 599 «О мерах по реализации государственной политики в области образования и науки» и другими;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государственной программой Российской Федерации «Развитие образования»                  на 2013-2020 годы, утвержденной постановлением Правительства Российской Федерации от 15 апреля 2014 года № 295;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Федеральной целевой программой развития образования на 2016-2020 годы, утвержденной постановлением Правительства Российской Федерации от 23 мая 2015 года № 497;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Программой социально-экономического развития Курганской области на 2015 год и среднесрочную перспективу, утвержденной Законом Курганской области</w:t>
      </w:r>
      <w:r w:rsidRPr="00ED1371">
        <w:rPr>
          <w:rFonts w:ascii="Times New Roman" w:hAnsi="Times New Roman"/>
          <w:sz w:val="24"/>
        </w:rPr>
        <w:br/>
        <w:t>от 28 ноября 2014 года № 86.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программой Курганской области «Развитие образования и реализация государственной молодежной политики» на 2016-2020 годы.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В сфере кадровой политики основными направлениями государственной образовательной политики Российской Федерации являются: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 условий оплаты труда, базирующихся на содержании и требованиях профессионального стандарта педагога;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 </w:t>
      </w:r>
    </w:p>
    <w:p w:rsidR="00DE3617" w:rsidRDefault="00DE3617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lastRenderedPageBreak/>
        <w:t>Раздел IV. Цели и задачи подпрограммы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 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Целью подпрограммы является о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Вместе с тем </w:t>
      </w:r>
      <w:r w:rsidRPr="00ED1371">
        <w:rPr>
          <w:rFonts w:ascii="Times New Roman" w:eastAsia="Times New Roman" w:hAnsi="Times New Roman"/>
          <w:color w:val="000000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» предусматривает следующие мероприятия, определяемые Федеральной целевой программой развития образования: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2016-2020 годов. Сроки реализации мероприятий подпрограммы приведены в таблице 1.</w:t>
      </w: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</w:t>
      </w:r>
      <w:r w:rsidRPr="00ED1371">
        <w:rPr>
          <w:rFonts w:ascii="Times New Roman" w:hAnsi="Times New Roman"/>
          <w:sz w:val="24"/>
        </w:rPr>
        <w:lastRenderedPageBreak/>
        <w:t>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участие во всероссийских конкурсах «Учитель года», «Воспитатель года», «Руководитель года»; 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обобщение и распространение инновационного педагогического опыта.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5724"/>
        <w:gridCol w:w="1539"/>
        <w:gridCol w:w="5112"/>
        <w:gridCol w:w="1769"/>
      </w:tblGrid>
      <w:tr w:rsidR="001B5DCA" w:rsidRPr="00ED1371" w:rsidTr="00961F52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961F52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B5DCA" w:rsidRPr="00ED1371" w:rsidTr="00961F52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УНО, </w:t>
            </w:r>
          </w:p>
          <w:p w:rsidR="001B5DCA" w:rsidRPr="00ED1371" w:rsidRDefault="001B5DCA" w:rsidP="00DE361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 </w:t>
            </w:r>
          </w:p>
        </w:tc>
      </w:tr>
      <w:tr w:rsidR="001B5DCA" w:rsidRPr="00ED1371" w:rsidTr="00961F52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B5DCA" w:rsidRPr="00ED1371" w:rsidTr="00961F52">
        <w:trPr>
          <w:trHeight w:val="83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методических рекомендаций по работе с молодыми специалистами</w:t>
            </w:r>
          </w:p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Обновление кадрового состава и закрепление молодых специалистов в системе образования Кетовского района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10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реализация плана мероприятий по привлечению и закреплению молодых специалистов в образовательных организациях  Кетовского района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УНО,</w:t>
            </w:r>
          </w:p>
          <w:p w:rsidR="001B5DCA" w:rsidRPr="00ED1371" w:rsidRDefault="001B5DCA" w:rsidP="00DE361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 </w:t>
            </w:r>
          </w:p>
        </w:tc>
      </w:tr>
      <w:tr w:rsidR="001B5DCA" w:rsidRPr="00ED1371" w:rsidTr="00992A58">
        <w:trPr>
          <w:trHeight w:val="59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Разработка и реализация комплексной программы профессиональной адаптации молодых специалистов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ind w:left="-68" w:right="-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92A58">
        <w:trPr>
          <w:trHeight w:val="432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реализация социального пакета молодого специалиста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Ежемесячная до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размере 3000 рублей в течение первого года работы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2016-2020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региональных,</w:t>
            </w:r>
            <w:r w:rsidR="00433B70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2017-2020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УНО </w:t>
            </w:r>
          </w:p>
        </w:tc>
      </w:tr>
      <w:tr w:rsidR="001B5DCA" w:rsidRPr="00ED1371" w:rsidTr="00961F52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3. 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B5DCA" w:rsidRPr="00ED1371" w:rsidTr="00992A58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ДОН</w:t>
            </w:r>
          </w:p>
        </w:tc>
      </w:tr>
      <w:tr w:rsidR="001B5DCA" w:rsidRPr="00ED1371" w:rsidTr="00961F52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4. 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1B5DCA" w:rsidRPr="00ED1371" w:rsidTr="00961F52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муниципальной методической сети для оказания адресной методической помощи учителям-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2016-2019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Создание специально организованного методического пространства педагогического 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УНО</w:t>
            </w:r>
          </w:p>
        </w:tc>
      </w:tr>
      <w:tr w:rsidR="001B5DCA" w:rsidRPr="00ED1371" w:rsidTr="00961F52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</w:t>
            </w:r>
            <w:r w:rsidR="00992A5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движения самообучающ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ихся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61F52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УНО</w:t>
            </w:r>
          </w:p>
        </w:tc>
      </w:tr>
      <w:tr w:rsidR="001B5DCA" w:rsidRPr="00ED1371" w:rsidTr="00992A58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992A58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92A5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2016-2020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 w:rsidSect="00961F52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B5DCA" w:rsidRPr="00ED1371" w:rsidTr="00D3239E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D3239E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1B5DCA" w:rsidRPr="00ED1371" w:rsidTr="00D3239E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66,6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</w:tr>
      <w:tr w:rsidR="001B5DCA" w:rsidRPr="00ED1371" w:rsidTr="00D3239E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</w:tr>
      <w:tr w:rsidR="001B5DCA" w:rsidRPr="00ED1371" w:rsidTr="00D3239E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 w:rsidR="001B5DCA" w:rsidRPr="00ED1371" w:rsidTr="00D3239E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</w:tr>
      <w:tr w:rsidR="001B5DCA" w:rsidRPr="00ED1371" w:rsidTr="00D3239E">
        <w:trPr>
          <w:trHeight w:val="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tabs>
                <w:tab w:val="left" w:pos="60"/>
              </w:tabs>
              <w:ind w:right="4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руководящих работников Кетовского района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D3239E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25"/>
        <w:gridCol w:w="4100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1B5DCA" w:rsidRPr="00ED1371" w:rsidTr="0099562E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44347C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</w:t>
            </w:r>
            <w:r w:rsidR="001B5DCA" w:rsidRPr="00ED1371"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9562E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9562E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</w:tr>
      <w:tr w:rsidR="001B5DCA" w:rsidRPr="00ED1371" w:rsidTr="0099562E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5DCA" w:rsidRPr="00ED1371" w:rsidRDefault="001B5DCA" w:rsidP="009B5C49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9B5C49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 2. Р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1B5DCA" w:rsidRPr="00ED1371" w:rsidRDefault="001B5DCA" w:rsidP="009B5C49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Целевой индикатор: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99562E" w:rsidRPr="00ED1371" w:rsidTr="0099562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Default="0099562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99562E" w:rsidRDefault="0099562E" w:rsidP="009B5C4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7E02">
              <w:rPr>
                <w:rFonts w:ascii="Times New Roman" w:hAnsi="Times New Roman"/>
                <w:color w:val="000000"/>
                <w:sz w:val="24"/>
              </w:rPr>
              <w:t>Выплата подъемного пособия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на срок не менее трех лет о работе по специальности</w:t>
            </w:r>
            <w:r w:rsidRPr="0099562E">
              <w:rPr>
                <w:rFonts w:ascii="Times New Roman" w:hAnsi="Times New Roman"/>
                <w:color w:val="000000"/>
                <w:sz w:val="24"/>
              </w:rPr>
              <w:t xml:space="preserve"> в  муниципальной общеобразовательной </w:t>
            </w:r>
            <w:r w:rsidRPr="0099562E">
              <w:rPr>
                <w:rFonts w:ascii="Times New Roman" w:hAnsi="Times New Roman"/>
                <w:color w:val="000000"/>
                <w:sz w:val="24"/>
              </w:rPr>
              <w:lastRenderedPageBreak/>
              <w:t>организации Кетовского района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5F77C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357,5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157,5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62E" w:rsidRPr="00ED1371" w:rsidRDefault="0099562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5C49" w:rsidP="009B5C49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Ежемесячная до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размере 3000 рублей в течение первого года работы 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  <w:p w:rsidR="00741EF1" w:rsidRDefault="00741EF1" w:rsidP="00741EF1"/>
          <w:p w:rsidR="001B5DCA" w:rsidRPr="00741EF1" w:rsidRDefault="00741EF1" w:rsidP="00741EF1">
            <w: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179,7</w:t>
            </w: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1067,8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179,7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533,9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EF1" w:rsidRDefault="00741EF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41EF1" w:rsidRPr="00741EF1" w:rsidRDefault="00741EF1" w:rsidP="00741EF1"/>
          <w:p w:rsidR="00741EF1" w:rsidRPr="00741EF1" w:rsidRDefault="00741EF1" w:rsidP="00741EF1"/>
          <w:p w:rsidR="00741EF1" w:rsidRDefault="00741EF1" w:rsidP="00741EF1"/>
          <w:p w:rsidR="001B5DCA" w:rsidRPr="00741EF1" w:rsidRDefault="00741EF1" w:rsidP="00741EF1">
            <w:r>
              <w:t>533,9</w:t>
            </w:r>
          </w:p>
        </w:tc>
      </w:tr>
      <w:tr w:rsidR="001B5DCA" w:rsidRPr="00ED1371" w:rsidTr="0099562E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</w:t>
            </w:r>
            <w:r w:rsidR="009B5C49">
              <w:rPr>
                <w:rFonts w:ascii="Times New Roman" w:hAnsi="Times New Roman"/>
                <w:color w:val="000000"/>
                <w:sz w:val="24"/>
                <w:lang w:val="ru-RU"/>
              </w:rPr>
              <w:t>, размещение информации в СМИ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0658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 w:rsidR="0053480B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112,5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C63FF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63FF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63FF8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C63FF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</w:tr>
      <w:tr w:rsidR="001B5DCA" w:rsidRPr="00ED1371" w:rsidTr="0099562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FF00"/>
                <w:lang w:val="ru-RU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6BA7" w:rsidRPr="00ED1371" w:rsidTr="0099562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Default="00247E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556BA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7E0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43320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BA7" w:rsidRPr="00ED1371" w:rsidRDefault="00556B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Целевые индикаторы: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здоровья;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</w:tr>
      <w:tr w:rsidR="001B5DCA" w:rsidRPr="00ED1371" w:rsidTr="0099562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5DCA" w:rsidRPr="00ED1371" w:rsidTr="0099562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4</w:t>
            </w:r>
            <w:r w:rsidR="00F0658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291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660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 w:rsidR="001B5DCA"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090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3480B" w:rsidP="00F0658C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0658C">
              <w:rPr>
                <w:rFonts w:ascii="Times New Roman" w:hAnsi="Times New Roman"/>
                <w:color w:val="000000"/>
                <w:sz w:val="24"/>
                <w:lang w:val="ru-RU"/>
              </w:rPr>
              <w:t>090</w:t>
            </w:r>
          </w:p>
        </w:tc>
      </w:tr>
      <w:tr w:rsidR="001B5DCA" w:rsidRPr="00ED1371" w:rsidTr="0099562E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Задача 4. С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1B5DCA" w:rsidRPr="00ED1371" w:rsidRDefault="001B5DC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sz w:val="24"/>
                <w:lang w:val="ru-RU"/>
              </w:rPr>
              <w:t>Целевой индикатор: д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1B5DCA" w:rsidRPr="00ED1371" w:rsidTr="0099562E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муниципальной методической сети для оказания адресной методической помощи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Областно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>й бюджет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  <w:r w:rsidR="00A54EFF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движения самообучающ</w:t>
            </w:r>
            <w:r w:rsidRPr="00ED1371">
              <w:rPr>
                <w:rFonts w:ascii="Times New Roman" w:hAnsi="Times New Roman"/>
                <w:sz w:val="24"/>
                <w:lang w:val="ru-RU"/>
              </w:rPr>
              <w:t xml:space="preserve">ихся </w:t>
            </w: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>
            <w:r w:rsidRPr="00B371C4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A54EFF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DE3617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>
            <w:r w:rsidRPr="00234E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4EFF" w:rsidRPr="00ED1371" w:rsidTr="0099562E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247E0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47E02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  <w:lang w:val="ru-RU"/>
              </w:rPr>
              <w:t>УНО</w:t>
            </w:r>
          </w:p>
          <w:p w:rsidR="00A54EFF" w:rsidRPr="00ED1371" w:rsidRDefault="00A54EFF" w:rsidP="00A54EFF">
            <w:pPr>
              <w:pStyle w:val="a1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A54EFF" w:rsidRPr="00ED1371" w:rsidRDefault="00A54EFF" w:rsidP="00A54EFF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Default="00A54EFF" w:rsidP="00A54EFF">
            <w:r w:rsidRPr="00234E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  <w:lang w:val="ru-RU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EFF" w:rsidRPr="00ED1371" w:rsidRDefault="00A54EFF" w:rsidP="00A54EFF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B5DCA" w:rsidRPr="00ED1371" w:rsidRDefault="001B5DCA" w:rsidP="00A54EFF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D3239E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D5" w:rsidRDefault="008846D5">
      <w:r>
        <w:separator/>
      </w:r>
    </w:p>
  </w:endnote>
  <w:endnote w:type="continuationSeparator" w:id="0">
    <w:p w:rsidR="008846D5" w:rsidRDefault="008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D5" w:rsidRDefault="008846D5">
      <w:r>
        <w:separator/>
      </w:r>
    </w:p>
  </w:footnote>
  <w:footnote w:type="continuationSeparator" w:id="0">
    <w:p w:rsidR="008846D5" w:rsidRDefault="0088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29</w:t>
    </w:r>
    <w:r>
      <w:rPr>
        <w:sz w:val="22"/>
        <w:szCs w:val="22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34</w:t>
    </w:r>
    <w:r>
      <w:rPr>
        <w:sz w:val="22"/>
        <w:szCs w:val="22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37</w:t>
    </w:r>
    <w:r>
      <w:rPr>
        <w:sz w:val="22"/>
        <w:szCs w:val="22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44</w:t>
    </w:r>
    <w:r>
      <w:rPr>
        <w:sz w:val="22"/>
        <w:szCs w:val="22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53</w:t>
    </w:r>
    <w:r>
      <w:rPr>
        <w:sz w:val="22"/>
        <w:szCs w:val="22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59</w:t>
    </w:r>
    <w:r>
      <w:rPr>
        <w:sz w:val="22"/>
        <w:szCs w:val="22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61</w:t>
    </w:r>
    <w:r>
      <w:rPr>
        <w:sz w:val="22"/>
        <w:szCs w:val="22"/>
      </w:rPr>
      <w:fldChar w:fldCharType="end"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66</w:t>
    </w:r>
    <w:r>
      <w:rPr>
        <w:sz w:val="22"/>
        <w:szCs w:val="22"/>
      </w:rPr>
      <w:fldChar w:fldCharType="end"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72</w:t>
    </w:r>
    <w:r>
      <w:rPr>
        <w:sz w:val="22"/>
        <w:szCs w:val="22"/>
      </w:rPr>
      <w:fldChar w:fldCharType="end"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75</w:t>
    </w:r>
    <w:r>
      <w:rPr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77</w:t>
    </w:r>
    <w:r>
      <w:rPr>
        <w:sz w:val="22"/>
        <w:szCs w:val="22"/>
      </w:rPr>
      <w:fldChar w:fldCharType="end"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81</w:t>
    </w:r>
    <w:r>
      <w:rPr>
        <w:sz w:val="22"/>
        <w:szCs w:val="22"/>
      </w:rPr>
      <w:fldChar w:fldCharType="end"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A" w:rsidRDefault="001B5DCA">
    <w:pPr>
      <w:pStyle w:val="af1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4C3C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0"/>
    <w:rsid w:val="00003B66"/>
    <w:rsid w:val="0002762D"/>
    <w:rsid w:val="00033275"/>
    <w:rsid w:val="000347E3"/>
    <w:rsid w:val="00040DA8"/>
    <w:rsid w:val="00050E55"/>
    <w:rsid w:val="0005685D"/>
    <w:rsid w:val="000762D2"/>
    <w:rsid w:val="00086186"/>
    <w:rsid w:val="000A4584"/>
    <w:rsid w:val="000A4874"/>
    <w:rsid w:val="000B6325"/>
    <w:rsid w:val="000D4AC3"/>
    <w:rsid w:val="000E0ACA"/>
    <w:rsid w:val="000E4F09"/>
    <w:rsid w:val="000E6BDA"/>
    <w:rsid w:val="000F393A"/>
    <w:rsid w:val="000F4474"/>
    <w:rsid w:val="0010645D"/>
    <w:rsid w:val="00125D66"/>
    <w:rsid w:val="0014168F"/>
    <w:rsid w:val="001A7627"/>
    <w:rsid w:val="001B5DCA"/>
    <w:rsid w:val="001E2559"/>
    <w:rsid w:val="001E4E1C"/>
    <w:rsid w:val="001F42FF"/>
    <w:rsid w:val="001F7BBF"/>
    <w:rsid w:val="002458DC"/>
    <w:rsid w:val="00245940"/>
    <w:rsid w:val="00247E02"/>
    <w:rsid w:val="00253DAF"/>
    <w:rsid w:val="0029144A"/>
    <w:rsid w:val="002A19B1"/>
    <w:rsid w:val="002C026B"/>
    <w:rsid w:val="002D4649"/>
    <w:rsid w:val="002D6B77"/>
    <w:rsid w:val="00303261"/>
    <w:rsid w:val="003207AE"/>
    <w:rsid w:val="00343AD8"/>
    <w:rsid w:val="00393E44"/>
    <w:rsid w:val="0039677B"/>
    <w:rsid w:val="003B6046"/>
    <w:rsid w:val="003D4301"/>
    <w:rsid w:val="003D4DDA"/>
    <w:rsid w:val="003D6300"/>
    <w:rsid w:val="00407F23"/>
    <w:rsid w:val="00433B70"/>
    <w:rsid w:val="00436365"/>
    <w:rsid w:val="0044347C"/>
    <w:rsid w:val="00464667"/>
    <w:rsid w:val="0047651B"/>
    <w:rsid w:val="00493526"/>
    <w:rsid w:val="004A193A"/>
    <w:rsid w:val="004D20D9"/>
    <w:rsid w:val="004D2744"/>
    <w:rsid w:val="0050790A"/>
    <w:rsid w:val="00526C51"/>
    <w:rsid w:val="00527D95"/>
    <w:rsid w:val="00533D6D"/>
    <w:rsid w:val="0053480B"/>
    <w:rsid w:val="00534C3C"/>
    <w:rsid w:val="00537D92"/>
    <w:rsid w:val="00556BA7"/>
    <w:rsid w:val="0055755D"/>
    <w:rsid w:val="005639F3"/>
    <w:rsid w:val="00564D68"/>
    <w:rsid w:val="00575D22"/>
    <w:rsid w:val="0059253C"/>
    <w:rsid w:val="0059514C"/>
    <w:rsid w:val="005A01C9"/>
    <w:rsid w:val="005B5483"/>
    <w:rsid w:val="005F2626"/>
    <w:rsid w:val="005F3BAF"/>
    <w:rsid w:val="005F77CC"/>
    <w:rsid w:val="005F77EC"/>
    <w:rsid w:val="00603F31"/>
    <w:rsid w:val="00616E6A"/>
    <w:rsid w:val="0062794D"/>
    <w:rsid w:val="00653C83"/>
    <w:rsid w:val="006718C9"/>
    <w:rsid w:val="0067793C"/>
    <w:rsid w:val="006A5F98"/>
    <w:rsid w:val="006A6C29"/>
    <w:rsid w:val="006D4E6B"/>
    <w:rsid w:val="006E1D90"/>
    <w:rsid w:val="006F2FA2"/>
    <w:rsid w:val="0071344A"/>
    <w:rsid w:val="00741EF1"/>
    <w:rsid w:val="00753574"/>
    <w:rsid w:val="00760C24"/>
    <w:rsid w:val="00781CE4"/>
    <w:rsid w:val="007B1870"/>
    <w:rsid w:val="007B5728"/>
    <w:rsid w:val="007C2D6A"/>
    <w:rsid w:val="007C475E"/>
    <w:rsid w:val="007C5B06"/>
    <w:rsid w:val="007F14AE"/>
    <w:rsid w:val="00813316"/>
    <w:rsid w:val="00830D22"/>
    <w:rsid w:val="00834D81"/>
    <w:rsid w:val="00835CEC"/>
    <w:rsid w:val="008846D5"/>
    <w:rsid w:val="008A06FF"/>
    <w:rsid w:val="008C6BCE"/>
    <w:rsid w:val="00901310"/>
    <w:rsid w:val="00902A8C"/>
    <w:rsid w:val="00910F2D"/>
    <w:rsid w:val="00921487"/>
    <w:rsid w:val="0095194A"/>
    <w:rsid w:val="00961F52"/>
    <w:rsid w:val="009645CC"/>
    <w:rsid w:val="00972D19"/>
    <w:rsid w:val="00992A58"/>
    <w:rsid w:val="0099562E"/>
    <w:rsid w:val="009B3F26"/>
    <w:rsid w:val="009B5C49"/>
    <w:rsid w:val="009D2808"/>
    <w:rsid w:val="009E5921"/>
    <w:rsid w:val="009F14B4"/>
    <w:rsid w:val="009F1FB6"/>
    <w:rsid w:val="00A06231"/>
    <w:rsid w:val="00A30E8F"/>
    <w:rsid w:val="00A43848"/>
    <w:rsid w:val="00A46C94"/>
    <w:rsid w:val="00A54EFF"/>
    <w:rsid w:val="00A904AB"/>
    <w:rsid w:val="00A91616"/>
    <w:rsid w:val="00AB0A03"/>
    <w:rsid w:val="00AC0BBE"/>
    <w:rsid w:val="00AC1CC4"/>
    <w:rsid w:val="00AC36D0"/>
    <w:rsid w:val="00AF632D"/>
    <w:rsid w:val="00B0052A"/>
    <w:rsid w:val="00B0132B"/>
    <w:rsid w:val="00B0653D"/>
    <w:rsid w:val="00B276C5"/>
    <w:rsid w:val="00B35CF4"/>
    <w:rsid w:val="00B45BCE"/>
    <w:rsid w:val="00B52B1A"/>
    <w:rsid w:val="00B60F02"/>
    <w:rsid w:val="00B616D5"/>
    <w:rsid w:val="00B92166"/>
    <w:rsid w:val="00BA25EC"/>
    <w:rsid w:val="00BB15CA"/>
    <w:rsid w:val="00BB3838"/>
    <w:rsid w:val="00BD714F"/>
    <w:rsid w:val="00BE2543"/>
    <w:rsid w:val="00BE46DA"/>
    <w:rsid w:val="00C021CF"/>
    <w:rsid w:val="00C63FF8"/>
    <w:rsid w:val="00C64460"/>
    <w:rsid w:val="00C65D09"/>
    <w:rsid w:val="00C95846"/>
    <w:rsid w:val="00CB0C82"/>
    <w:rsid w:val="00CD23F4"/>
    <w:rsid w:val="00D1257A"/>
    <w:rsid w:val="00D12BD7"/>
    <w:rsid w:val="00D17E64"/>
    <w:rsid w:val="00D22153"/>
    <w:rsid w:val="00D24A05"/>
    <w:rsid w:val="00D3239E"/>
    <w:rsid w:val="00D36D6D"/>
    <w:rsid w:val="00D54301"/>
    <w:rsid w:val="00D76041"/>
    <w:rsid w:val="00DB47EE"/>
    <w:rsid w:val="00DC0087"/>
    <w:rsid w:val="00DE3617"/>
    <w:rsid w:val="00E00708"/>
    <w:rsid w:val="00E1153B"/>
    <w:rsid w:val="00E170AD"/>
    <w:rsid w:val="00E26CCA"/>
    <w:rsid w:val="00E3397E"/>
    <w:rsid w:val="00E76129"/>
    <w:rsid w:val="00EA3E49"/>
    <w:rsid w:val="00EC0562"/>
    <w:rsid w:val="00ED1371"/>
    <w:rsid w:val="00ED1F03"/>
    <w:rsid w:val="00F0658C"/>
    <w:rsid w:val="00F30ACF"/>
    <w:rsid w:val="00F43B48"/>
    <w:rsid w:val="00F7020A"/>
    <w:rsid w:val="00F76912"/>
    <w:rsid w:val="00F8499C"/>
    <w:rsid w:val="00F943AC"/>
    <w:rsid w:val="00FA6E92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basedOn w:val="a2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WWCharLFO33LVL1">
    <w:name w:val="WW_CharLFO33LVL1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Pr>
      <w:rFonts w:ascii="Tahoma" w:hAnsi="Tahoma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Pr>
      <w:rFonts w:ascii="Symbol" w:hAnsi="Symbol" w:cs="OpenSymbol"/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styleId="a8">
    <w:name w:val="Emphasis"/>
    <w:qFormat/>
    <w:rPr>
      <w:i/>
      <w:iCs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b/>
      <w:bCs/>
      <w:color w:val="106BBE"/>
    </w:rPr>
  </w:style>
  <w:style w:type="character" w:styleId="ab">
    <w:name w:val="Strong"/>
    <w:qFormat/>
    <w:rPr>
      <w:b/>
      <w:bCs/>
    </w:rPr>
  </w:style>
  <w:style w:type="paragraph" w:styleId="a1">
    <w:name w:val="Body Text"/>
    <w:basedOn w:val="a"/>
    <w:link w:val="ac"/>
    <w:pPr>
      <w:spacing w:after="120"/>
    </w:pPr>
    <w:rPr>
      <w:lang w:val="x-none"/>
    </w:rPr>
  </w:style>
  <w:style w:type="paragraph" w:customStyle="1" w:styleId="ad">
    <w:name w:val="Заголовок"/>
    <w:basedOn w:val="a"/>
    <w:next w:val="a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pPr>
      <w:jc w:val="center"/>
    </w:pPr>
    <w:rPr>
      <w:i/>
      <w:iCs/>
    </w:rPr>
  </w:style>
  <w:style w:type="paragraph" w:styleId="af0">
    <w:name w:val="List"/>
    <w:basedOn w:val="a1"/>
    <w:rPr>
      <w:rFonts w:cs="Tahoma"/>
    </w:rPr>
  </w:style>
  <w:style w:type="paragraph" w:styleId="af1">
    <w:name w:val="header"/>
    <w:basedOn w:val="a"/>
    <w:link w:val="af2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styleId="af3">
    <w:name w:val="footer"/>
    <w:basedOn w:val="a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  <w:lang/>
    </w:rPr>
  </w:style>
  <w:style w:type="paragraph" w:customStyle="1" w:styleId="32">
    <w:name w:val="Обычный3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/>
      <w:kern w:val="1"/>
      <w:lang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  <w:lang/>
    </w:rPr>
  </w:style>
  <w:style w:type="paragraph" w:customStyle="1" w:styleId="22">
    <w:name w:val="Обычный2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  <w:lang/>
    </w:rPr>
  </w:style>
  <w:style w:type="paragraph" w:styleId="af6">
    <w:name w:val="List Paragraph"/>
    <w:basedOn w:val="32"/>
    <w:uiPriority w:val="34"/>
    <w:qFormat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pPr>
      <w:suppressAutoHyphens w:val="0"/>
      <w:spacing w:before="280" w:after="280"/>
    </w:pPr>
  </w:style>
  <w:style w:type="paragraph" w:customStyle="1" w:styleId="BodyTextIndent3">
    <w:name w:val="Body Text Indent 3"/>
    <w:basedOn w:val="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  <w:lang/>
    </w:rPr>
  </w:style>
  <w:style w:type="character" w:customStyle="1" w:styleId="30">
    <w:name w:val="Заголовок 3 Знак"/>
    <w:basedOn w:val="a2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basedOn w:val="a2"/>
    <w:link w:val="a0"/>
    <w:rsid w:val="00910F2D"/>
    <w:rPr>
      <w:rFonts w:ascii="Arial" w:eastAsia="Arial Unicode MS" w:hAnsi="Arial" w:cs="Tahoma"/>
      <w:kern w:val="1"/>
      <w:sz w:val="28"/>
      <w:szCs w:val="28"/>
      <w:lang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header" Target="header7.xml"/><Relationship Id="rId42" Type="http://schemas.openxmlformats.org/officeDocument/2006/relationships/header" Target="header16.xml"/><Relationship Id="rId47" Type="http://schemas.openxmlformats.org/officeDocument/2006/relationships/footer" Target="footer16.xml"/><Relationship Id="rId63" Type="http://schemas.openxmlformats.org/officeDocument/2006/relationships/footer" Target="footer24.xml"/><Relationship Id="rId68" Type="http://schemas.openxmlformats.org/officeDocument/2006/relationships/header" Target="header28.xml"/><Relationship Id="rId84" Type="http://schemas.openxmlformats.org/officeDocument/2006/relationships/footer" Target="footer34.xml"/><Relationship Id="rId89" Type="http://schemas.openxmlformats.org/officeDocument/2006/relationships/header" Target="header39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92" Type="http://schemas.openxmlformats.org/officeDocument/2006/relationships/header" Target="header40.xml"/><Relationship Id="rId2" Type="http://schemas.openxmlformats.org/officeDocument/2006/relationships/numbering" Target="numbering.xml"/><Relationship Id="rId16" Type="http://schemas.openxmlformats.org/officeDocument/2006/relationships/hyperlink" Target="garantf1://5532903.0/" TargetMode="External"/><Relationship Id="rId29" Type="http://schemas.openxmlformats.org/officeDocument/2006/relationships/footer" Target="footer9.xml"/><Relationship Id="rId107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yperlink" Target="garantf1://70412244.1000/" TargetMode="Externa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header" Target="header23.xml"/><Relationship Id="rId66" Type="http://schemas.openxmlformats.org/officeDocument/2006/relationships/footer" Target="footer25.xml"/><Relationship Id="rId74" Type="http://schemas.openxmlformats.org/officeDocument/2006/relationships/header" Target="header31.xml"/><Relationship Id="rId79" Type="http://schemas.openxmlformats.org/officeDocument/2006/relationships/footer" Target="footer32.xml"/><Relationship Id="rId87" Type="http://schemas.openxmlformats.org/officeDocument/2006/relationships/footer" Target="footer36.xml"/><Relationship Id="rId102" Type="http://schemas.openxmlformats.org/officeDocument/2006/relationships/footer" Target="footer43.xml"/><Relationship Id="rId5" Type="http://schemas.openxmlformats.org/officeDocument/2006/relationships/settings" Target="settings.xml"/><Relationship Id="rId61" Type="http://schemas.openxmlformats.org/officeDocument/2006/relationships/footer" Target="footer23.xml"/><Relationship Id="rId82" Type="http://schemas.openxmlformats.org/officeDocument/2006/relationships/header" Target="header35.xml"/><Relationship Id="rId90" Type="http://schemas.openxmlformats.org/officeDocument/2006/relationships/footer" Target="footer37.xml"/><Relationship Id="rId95" Type="http://schemas.openxmlformats.org/officeDocument/2006/relationships/header" Target="header42.xml"/><Relationship Id="rId19" Type="http://schemas.openxmlformats.org/officeDocument/2006/relationships/footer" Target="footer4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garantf1://5532903.0/" TargetMode="External"/><Relationship Id="rId35" Type="http://schemas.openxmlformats.org/officeDocument/2006/relationships/header" Target="header13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header" Target="header22.xml"/><Relationship Id="rId64" Type="http://schemas.openxmlformats.org/officeDocument/2006/relationships/header" Target="header26.xml"/><Relationship Id="rId69" Type="http://schemas.openxmlformats.org/officeDocument/2006/relationships/footer" Target="footer27.xml"/><Relationship Id="rId77" Type="http://schemas.openxmlformats.org/officeDocument/2006/relationships/header" Target="header33.xml"/><Relationship Id="rId100" Type="http://schemas.openxmlformats.org/officeDocument/2006/relationships/header" Target="header44.xml"/><Relationship Id="rId105" Type="http://schemas.openxmlformats.org/officeDocument/2006/relationships/footer" Target="footer45.xml"/><Relationship Id="rId8" Type="http://schemas.openxmlformats.org/officeDocument/2006/relationships/endnotes" Target="endnotes.xml"/><Relationship Id="rId51" Type="http://schemas.openxmlformats.org/officeDocument/2006/relationships/hyperlink" Target="garantf1://5532903.0/" TargetMode="External"/><Relationship Id="rId72" Type="http://schemas.openxmlformats.org/officeDocument/2006/relationships/footer" Target="footer28.xml"/><Relationship Id="rId80" Type="http://schemas.openxmlformats.org/officeDocument/2006/relationships/header" Target="header34.xml"/><Relationship Id="rId85" Type="http://schemas.openxmlformats.org/officeDocument/2006/relationships/footer" Target="footer35.xml"/><Relationship Id="rId93" Type="http://schemas.openxmlformats.org/officeDocument/2006/relationships/footer" Target="footer39.xml"/><Relationship Id="rId98" Type="http://schemas.openxmlformats.org/officeDocument/2006/relationships/header" Target="header43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header" Target="header24.xml"/><Relationship Id="rId67" Type="http://schemas.openxmlformats.org/officeDocument/2006/relationships/footer" Target="footer26.xml"/><Relationship Id="rId103" Type="http://schemas.openxmlformats.org/officeDocument/2006/relationships/footer" Target="footer44.xml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54" Type="http://schemas.openxmlformats.org/officeDocument/2006/relationships/footer" Target="footer19.xml"/><Relationship Id="rId62" Type="http://schemas.openxmlformats.org/officeDocument/2006/relationships/header" Target="header25.xml"/><Relationship Id="rId70" Type="http://schemas.openxmlformats.org/officeDocument/2006/relationships/header" Target="header29.xml"/><Relationship Id="rId75" Type="http://schemas.openxmlformats.org/officeDocument/2006/relationships/footer" Target="footer30.xml"/><Relationship Id="rId83" Type="http://schemas.openxmlformats.org/officeDocument/2006/relationships/header" Target="header36.xml"/><Relationship Id="rId88" Type="http://schemas.openxmlformats.org/officeDocument/2006/relationships/header" Target="header38.xml"/><Relationship Id="rId91" Type="http://schemas.openxmlformats.org/officeDocument/2006/relationships/footer" Target="footer38.xml"/><Relationship Id="rId96" Type="http://schemas.openxmlformats.org/officeDocument/2006/relationships/footer" Target="footer4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5532903.0/" TargetMode="External"/><Relationship Id="rId28" Type="http://schemas.openxmlformats.org/officeDocument/2006/relationships/header" Target="header10.xml"/><Relationship Id="rId36" Type="http://schemas.openxmlformats.org/officeDocument/2006/relationships/footer" Target="footer12.xml"/><Relationship Id="rId49" Type="http://schemas.openxmlformats.org/officeDocument/2006/relationships/header" Target="header19.xml"/><Relationship Id="rId57" Type="http://schemas.openxmlformats.org/officeDocument/2006/relationships/footer" Target="footer21.xml"/><Relationship Id="rId106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eader" Target="header11.xml"/><Relationship Id="rId44" Type="http://schemas.openxmlformats.org/officeDocument/2006/relationships/hyperlink" Target="garantf1://5532903.0/" TargetMode="External"/><Relationship Id="rId52" Type="http://schemas.openxmlformats.org/officeDocument/2006/relationships/header" Target="header20.xml"/><Relationship Id="rId60" Type="http://schemas.openxmlformats.org/officeDocument/2006/relationships/footer" Target="footer22.xml"/><Relationship Id="rId65" Type="http://schemas.openxmlformats.org/officeDocument/2006/relationships/header" Target="header27.xml"/><Relationship Id="rId73" Type="http://schemas.openxmlformats.org/officeDocument/2006/relationships/footer" Target="footer29.xml"/><Relationship Id="rId78" Type="http://schemas.openxmlformats.org/officeDocument/2006/relationships/footer" Target="footer31.xml"/><Relationship Id="rId81" Type="http://schemas.openxmlformats.org/officeDocument/2006/relationships/footer" Target="footer33.xml"/><Relationship Id="rId86" Type="http://schemas.openxmlformats.org/officeDocument/2006/relationships/header" Target="header37.xml"/><Relationship Id="rId94" Type="http://schemas.openxmlformats.org/officeDocument/2006/relationships/header" Target="header41.xml"/><Relationship Id="rId99" Type="http://schemas.openxmlformats.org/officeDocument/2006/relationships/footer" Target="footer42.xml"/><Relationship Id="rId101" Type="http://schemas.openxmlformats.org/officeDocument/2006/relationships/header" Target="header4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34" Type="http://schemas.openxmlformats.org/officeDocument/2006/relationships/footer" Target="footer11.xml"/><Relationship Id="rId50" Type="http://schemas.openxmlformats.org/officeDocument/2006/relationships/footer" Target="footer18.xml"/><Relationship Id="rId55" Type="http://schemas.openxmlformats.org/officeDocument/2006/relationships/footer" Target="footer20.xml"/><Relationship Id="rId76" Type="http://schemas.openxmlformats.org/officeDocument/2006/relationships/header" Target="header32.xml"/><Relationship Id="rId97" Type="http://schemas.openxmlformats.org/officeDocument/2006/relationships/footer" Target="footer41.xml"/><Relationship Id="rId104" Type="http://schemas.openxmlformats.org/officeDocument/2006/relationships/header" Target="header4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A1B4-258D-49B7-9DBC-EE174913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22393</Words>
  <Characters>127646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149740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2019-03-05T05:24:00Z</cp:lastPrinted>
  <dcterms:created xsi:type="dcterms:W3CDTF">2019-03-12T06:25:00Z</dcterms:created>
  <dcterms:modified xsi:type="dcterms:W3CDTF">2019-03-12T06:25:00Z</dcterms:modified>
</cp:coreProperties>
</file>