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6" w:rsidRPr="00B92166" w:rsidRDefault="00B92166" w:rsidP="00B92166">
      <w:pPr>
        <w:pStyle w:val="a0"/>
        <w:spacing w:before="0" w:after="0"/>
        <w:jc w:val="center"/>
        <w:rPr>
          <w:rFonts w:ascii="Times New Roman" w:hAnsi="Times New Roman" w:cs="Times New Roman"/>
          <w:b/>
        </w:rPr>
      </w:pPr>
      <w:r w:rsidRPr="00B92166">
        <w:rPr>
          <w:rFonts w:ascii="Times New Roman" w:hAnsi="Times New Roman" w:cs="Times New Roman"/>
          <w:b/>
        </w:rPr>
        <w:t>РОССИЙСКАЯ ФЕДЕРАЦИЯ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B92166" w:rsidRPr="009E6F42" w:rsidRDefault="00B92166" w:rsidP="00B92166">
      <w:pPr>
        <w:pStyle w:val="af6"/>
        <w:jc w:val="center"/>
        <w:rPr>
          <w:b/>
          <w:bCs/>
        </w:rPr>
      </w:pPr>
      <w:r w:rsidRPr="009E6F42">
        <w:rPr>
          <w:b/>
          <w:bCs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 ПОСТАНОВЛЕНИ</w:t>
      </w:r>
      <w:r>
        <w:rPr>
          <w:rFonts w:ascii="Times New Roman" w:hAnsi="Times New Roman"/>
          <w:b/>
          <w:bCs/>
          <w:sz w:val="24"/>
        </w:rPr>
        <w:t>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E2273E">
        <w:rPr>
          <w:rFonts w:ascii="Times New Roman" w:hAnsi="Times New Roman"/>
          <w:szCs w:val="28"/>
        </w:rPr>
        <w:t xml:space="preserve">26 июля </w:t>
      </w:r>
      <w:r>
        <w:rPr>
          <w:rFonts w:ascii="Times New Roman" w:hAnsi="Times New Roman"/>
          <w:szCs w:val="28"/>
        </w:rPr>
        <w:t xml:space="preserve"> </w:t>
      </w:r>
      <w:r w:rsidRPr="00BA4EAD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 xml:space="preserve">9 г.  № </w:t>
      </w:r>
      <w:r w:rsidR="00E2273E">
        <w:rPr>
          <w:rFonts w:ascii="Times New Roman" w:hAnsi="Times New Roman"/>
          <w:szCs w:val="28"/>
        </w:rPr>
        <w:t>1405</w:t>
      </w:r>
    </w:p>
    <w:p w:rsidR="00B92166" w:rsidRPr="00B92166" w:rsidRDefault="00B92166" w:rsidP="00B92166">
      <w:pPr>
        <w:pStyle w:val="1"/>
        <w:spacing w:before="0"/>
        <w:rPr>
          <w:b w:val="0"/>
          <w:sz w:val="20"/>
          <w:szCs w:val="20"/>
        </w:rPr>
      </w:pPr>
      <w:r w:rsidRPr="00B92166">
        <w:rPr>
          <w:b w:val="0"/>
        </w:rPr>
        <w:t xml:space="preserve">  </w:t>
      </w:r>
      <w:r w:rsidR="0077726E">
        <w:rPr>
          <w:b w:val="0"/>
        </w:rPr>
        <w:t xml:space="preserve"> </w:t>
      </w:r>
      <w:r w:rsidR="00286832">
        <w:rPr>
          <w:b w:val="0"/>
        </w:rPr>
        <w:t xml:space="preserve">   </w:t>
      </w:r>
      <w:r w:rsidRPr="00B92166">
        <w:rPr>
          <w:b w:val="0"/>
          <w:sz w:val="20"/>
          <w:szCs w:val="20"/>
        </w:rPr>
        <w:t>с. Кетово</w:t>
      </w:r>
    </w:p>
    <w:p w:rsidR="00CC2E4E" w:rsidRDefault="00CC2E4E" w:rsidP="00CC2E4E">
      <w:pPr>
        <w:pStyle w:val="af7"/>
        <w:jc w:val="center"/>
        <w:rPr>
          <w:rFonts w:ascii="Times New Roman" w:hAnsi="Times New Roman"/>
          <w:b/>
          <w:bCs/>
          <w:sz w:val="24"/>
        </w:rPr>
      </w:pPr>
    </w:p>
    <w:p w:rsidR="00CC2E4E" w:rsidRPr="00E65734" w:rsidRDefault="00CC2E4E" w:rsidP="00CC2E4E">
      <w:pPr>
        <w:pStyle w:val="af7"/>
        <w:jc w:val="center"/>
        <w:rPr>
          <w:b/>
        </w:rPr>
      </w:pPr>
      <w:r w:rsidRPr="00CC2E4E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</w:t>
      </w:r>
      <w:r>
        <w:rPr>
          <w:b/>
          <w:bCs/>
        </w:rPr>
        <w:t xml:space="preserve">  </w:t>
      </w:r>
      <w:r w:rsidRPr="00CC2E4E">
        <w:rPr>
          <w:rFonts w:ascii="Times New Roman" w:hAnsi="Times New Roman"/>
          <w:b/>
          <w:bCs/>
          <w:sz w:val="24"/>
        </w:rPr>
        <w:t>от</w:t>
      </w:r>
      <w:r>
        <w:rPr>
          <w:b/>
          <w:bCs/>
        </w:rPr>
        <w:t xml:space="preserve"> </w:t>
      </w:r>
      <w:r w:rsidRPr="00E65734">
        <w:rPr>
          <w:rFonts w:ascii="Times New Roman" w:hAnsi="Times New Roman"/>
          <w:b/>
          <w:bCs/>
          <w:sz w:val="24"/>
        </w:rPr>
        <w:t>7 марта 2019 года № 314 «О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E65734">
        <w:rPr>
          <w:b/>
          <w:bCs/>
        </w:rPr>
        <w:t>»</w:t>
      </w:r>
    </w:p>
    <w:p w:rsidR="00CC2E4E" w:rsidRDefault="00CC2E4E" w:rsidP="00CC2E4E">
      <w:pPr>
        <w:ind w:firstLine="708"/>
        <w:jc w:val="both"/>
        <w:rPr>
          <w:rFonts w:ascii="Times New Roman" w:hAnsi="Times New Roman"/>
          <w:sz w:val="24"/>
        </w:rPr>
      </w:pPr>
    </w:p>
    <w:p w:rsidR="00CC2E4E" w:rsidRPr="00ED1371" w:rsidRDefault="00CC2E4E" w:rsidP="00CC2E4E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и мероприятий муниципальной программы Кетовского района «Развитие образования и реализация государственной молодежной политики» </w:t>
      </w:r>
      <w:r w:rsidRPr="00ED1371">
        <w:rPr>
          <w:rFonts w:ascii="Times New Roman" w:hAnsi="Times New Roman"/>
          <w:bCs/>
          <w:sz w:val="24"/>
        </w:rPr>
        <w:t>на 2016-2020 годы»</w:t>
      </w:r>
      <w:r w:rsidRPr="00ED1371">
        <w:rPr>
          <w:rFonts w:ascii="Times New Roman" w:hAnsi="Times New Roman"/>
          <w:sz w:val="24"/>
        </w:rPr>
        <w:t xml:space="preserve"> Администрация Кетовского района ПОСТАНОВЛЯЕТ: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6164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7 марта 2019 года № 314 «</w:t>
      </w:r>
      <w:r w:rsidRPr="00761646">
        <w:rPr>
          <w:rFonts w:ascii="Times New Roman" w:hAnsi="Times New Roman"/>
          <w:bCs/>
          <w:sz w:val="24"/>
          <w:szCs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D1371">
        <w:rPr>
          <w:rFonts w:ascii="Times New Roman" w:hAnsi="Times New Roman"/>
          <w:sz w:val="24"/>
          <w:szCs w:val="24"/>
        </w:rPr>
        <w:t xml:space="preserve">изложив в новой редакции </w:t>
      </w:r>
      <w:r w:rsidRPr="000E41B9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разделы:</w:t>
      </w:r>
    </w:p>
    <w:p w:rsidR="00CC2E4E" w:rsidRPr="000E41B9" w:rsidRDefault="00CC2E4E" w:rsidP="00CC2E4E">
      <w:pPr>
        <w:ind w:firstLine="708"/>
        <w:jc w:val="both"/>
        <w:rPr>
          <w:rFonts w:ascii="Times New Roman" w:eastAsia="Arial" w:hAnsi="Times New Roman"/>
          <w:spacing w:val="-4"/>
          <w:sz w:val="24"/>
        </w:rPr>
      </w:pPr>
      <w:r w:rsidRPr="009F7CB9">
        <w:rPr>
          <w:rFonts w:ascii="Times New Roman" w:eastAsia="Arial" w:hAnsi="Times New Roman"/>
          <w:spacing w:val="-4"/>
          <w:sz w:val="24"/>
        </w:rPr>
        <w:t xml:space="preserve">- </w:t>
      </w:r>
      <w:r w:rsidRPr="00FA59D0">
        <w:rPr>
          <w:rFonts w:ascii="Times New Roman" w:hAnsi="Times New Roman"/>
          <w:bCs/>
          <w:sz w:val="24"/>
        </w:rPr>
        <w:t>Раздел I. Паспорт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</w:rPr>
        <w:t xml:space="preserve"> 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</w:rPr>
        <w:t xml:space="preserve">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1 к настоящему постановлению</w:t>
      </w:r>
      <w:r>
        <w:rPr>
          <w:rFonts w:ascii="Times New Roman" w:eastAsia="Arial" w:hAnsi="Times New Roman"/>
          <w:spacing w:val="-4"/>
          <w:sz w:val="24"/>
        </w:rPr>
        <w:t>;</w:t>
      </w:r>
    </w:p>
    <w:p w:rsidR="00CC2E4E" w:rsidRPr="000E41B9" w:rsidRDefault="00CC2E4E" w:rsidP="00CC2E4E">
      <w:pPr>
        <w:pStyle w:val="afc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Arial" w:hAnsi="Times New Roman"/>
          <w:spacing w:val="-4"/>
          <w:sz w:val="24"/>
          <w:szCs w:val="24"/>
        </w:rPr>
        <w:t xml:space="preserve">- </w:t>
      </w:r>
      <w:r w:rsidRPr="00FA59D0">
        <w:rPr>
          <w:rFonts w:ascii="Times New Roman" w:hAnsi="Times New Roman"/>
          <w:bCs/>
          <w:color w:val="000000"/>
          <w:sz w:val="24"/>
        </w:rPr>
        <w:t>Раздел X. Информация по ресурсному обеспечению муниципальной  программы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</w:t>
      </w:r>
      <w:r>
        <w:rPr>
          <w:rFonts w:ascii="Times New Roman" w:hAnsi="Times New Roman"/>
          <w:bCs/>
          <w:sz w:val="24"/>
        </w:rPr>
        <w:t xml:space="preserve">ной политики» на 2016-2020 годы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2 к настоящему постановлению</w:t>
      </w:r>
      <w:r>
        <w:rPr>
          <w:rFonts w:ascii="Times New Roman" w:hAnsi="Times New Roman"/>
          <w:bCs/>
          <w:sz w:val="24"/>
        </w:rPr>
        <w:t>;</w:t>
      </w:r>
    </w:p>
    <w:p w:rsidR="00CC2E4E" w:rsidRDefault="00CC2E4E" w:rsidP="00CC2E4E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</w:t>
      </w:r>
      <w:r w:rsidRPr="00FA59D0">
        <w:rPr>
          <w:rFonts w:ascii="Times New Roman" w:hAnsi="Times New Roman"/>
          <w:b/>
          <w:bCs/>
          <w:sz w:val="24"/>
        </w:rPr>
        <w:t xml:space="preserve"> </w:t>
      </w:r>
      <w:r w:rsidRPr="00FA59D0">
        <w:rPr>
          <w:rFonts w:ascii="Times New Roman" w:hAnsi="Times New Roman"/>
          <w:bCs/>
          <w:sz w:val="24"/>
        </w:rPr>
        <w:t>Раздел I. Паспорт подпрограммы «Развитие общего образования»</w:t>
      </w:r>
      <w:r>
        <w:rPr>
          <w:rFonts w:ascii="Times New Roman" w:hAnsi="Times New Roman"/>
          <w:bCs/>
          <w:sz w:val="24"/>
        </w:rPr>
        <w:t xml:space="preserve"> п</w:t>
      </w:r>
      <w:r w:rsidRPr="00FA59D0">
        <w:rPr>
          <w:rFonts w:ascii="Times New Roman" w:hAnsi="Times New Roman"/>
          <w:bCs/>
          <w:sz w:val="24"/>
        </w:rPr>
        <w:t>одпрограмм</w:t>
      </w:r>
      <w:r>
        <w:rPr>
          <w:rFonts w:ascii="Times New Roman" w:hAnsi="Times New Roman"/>
          <w:bCs/>
          <w:sz w:val="24"/>
        </w:rPr>
        <w:t>ы</w:t>
      </w:r>
      <w:r w:rsidRPr="00FA59D0">
        <w:rPr>
          <w:rFonts w:ascii="Times New Roman" w:hAnsi="Times New Roman"/>
          <w:bCs/>
          <w:sz w:val="24"/>
        </w:rPr>
        <w:t xml:space="preserve"> «Развитие общего образования»</w:t>
      </w:r>
      <w:r>
        <w:rPr>
          <w:rFonts w:ascii="Times New Roman" w:hAnsi="Times New Roman"/>
          <w:bCs/>
          <w:sz w:val="24"/>
        </w:rPr>
        <w:t xml:space="preserve"> 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</w:rPr>
        <w:t xml:space="preserve">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3 к настоящему постановлению</w:t>
      </w:r>
      <w:r>
        <w:rPr>
          <w:rFonts w:ascii="Times New Roman" w:hAnsi="Times New Roman"/>
          <w:bCs/>
          <w:sz w:val="24"/>
        </w:rPr>
        <w:t>;</w:t>
      </w:r>
    </w:p>
    <w:p w:rsidR="00CC2E4E" w:rsidRPr="00E54283" w:rsidRDefault="00CC2E4E" w:rsidP="00CC2E4E">
      <w:pPr>
        <w:pStyle w:val="a1"/>
        <w:spacing w:after="0"/>
        <w:ind w:firstLine="633"/>
        <w:jc w:val="both"/>
        <w:rPr>
          <w:rFonts w:ascii="Times New Roman" w:eastAsia="Arial" w:hAnsi="Times New Roman"/>
          <w:bCs/>
          <w:color w:val="000000"/>
          <w:spacing w:val="-4"/>
          <w:sz w:val="24"/>
        </w:rPr>
      </w:pPr>
      <w:r w:rsidRPr="00E54283">
        <w:rPr>
          <w:rFonts w:ascii="Times New Roman" w:hAnsi="Times New Roman"/>
          <w:bCs/>
          <w:color w:val="000000"/>
          <w:sz w:val="24"/>
        </w:rPr>
        <w:t xml:space="preserve">- </w:t>
      </w:r>
      <w:r w:rsidRPr="00FA59D0">
        <w:rPr>
          <w:rFonts w:ascii="Times New Roman" w:hAnsi="Times New Roman"/>
          <w:bCs/>
          <w:color w:val="000000"/>
          <w:sz w:val="24"/>
        </w:rPr>
        <w:t>Раздел IX. Информация по ресурсному обеспечению подпрограммы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E54283">
        <w:rPr>
          <w:rFonts w:ascii="Times New Roman" w:eastAsia="Arial" w:hAnsi="Times New Roman"/>
          <w:bCs/>
          <w:color w:val="000000"/>
          <w:spacing w:val="-4"/>
          <w:sz w:val="24"/>
        </w:rPr>
        <w:t>«Кадровое обеспечение системы образования Кетовского района»</w:t>
      </w:r>
      <w:r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4 к настоящему постановлению</w:t>
      </w:r>
      <w:r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. 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</w:t>
      </w:r>
      <w:r w:rsidRPr="003846EC">
        <w:rPr>
          <w:rFonts w:ascii="PT Astra Serif" w:hAnsi="PT Astra Serif"/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C2E4E" w:rsidRPr="00ED1371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Кетовского района по социальной политике.</w:t>
      </w:r>
    </w:p>
    <w:p w:rsidR="00286832" w:rsidRDefault="00286832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55AF" w:rsidRDefault="001E55AF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CC2E4E" w:rsidRDefault="00CC2E4E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Pr="00FD199A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D199A">
        <w:rPr>
          <w:rFonts w:ascii="Times New Roman" w:hAnsi="Times New Roman"/>
          <w:sz w:val="24"/>
          <w:szCs w:val="24"/>
        </w:rPr>
        <w:t xml:space="preserve">Глава  Кетовского района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Архипов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9F7CB9" w:rsidRDefault="0021716D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 w:rsidRPr="0021716D">
        <w:rPr>
          <w:rFonts w:ascii="Times New Roman" w:hAnsi="Times New Roman"/>
          <w:b w:val="0"/>
          <w:sz w:val="20"/>
          <w:szCs w:val="20"/>
        </w:rPr>
        <w:t>И.Л. Панфилова</w:t>
      </w:r>
    </w:p>
    <w:p w:rsidR="0021716D" w:rsidRPr="0021716D" w:rsidRDefault="0021716D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38-5-71</w:t>
      </w:r>
    </w:p>
    <w:p w:rsidR="00CC2E4E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575615">
        <w:rPr>
          <w:rFonts w:ascii="Times New Roman" w:hAnsi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/>
          <w:b w:val="0"/>
          <w:sz w:val="24"/>
          <w:szCs w:val="24"/>
        </w:rPr>
        <w:t xml:space="preserve"> к постановлению </w:t>
      </w:r>
      <w:r w:rsidR="00B468F4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  <w:r>
        <w:rPr>
          <w:rFonts w:ascii="Times New Roman" w:hAnsi="Times New Roman"/>
          <w:b w:val="0"/>
          <w:sz w:val="24"/>
          <w:szCs w:val="24"/>
        </w:rPr>
        <w:t>от «</w:t>
      </w:r>
      <w:r w:rsidR="00E2273E">
        <w:rPr>
          <w:rFonts w:ascii="Times New Roman" w:hAnsi="Times New Roman"/>
          <w:b w:val="0"/>
          <w:sz w:val="24"/>
          <w:szCs w:val="24"/>
        </w:rPr>
        <w:t>26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E2273E">
        <w:rPr>
          <w:rFonts w:ascii="Times New Roman" w:hAnsi="Times New Roman"/>
          <w:b w:val="0"/>
          <w:sz w:val="24"/>
          <w:szCs w:val="24"/>
        </w:rPr>
        <w:t>июля</w:t>
      </w:r>
      <w:r>
        <w:rPr>
          <w:rFonts w:ascii="Times New Roman" w:hAnsi="Times New Roman"/>
          <w:b w:val="0"/>
          <w:sz w:val="24"/>
          <w:szCs w:val="24"/>
        </w:rPr>
        <w:t xml:space="preserve"> 2019 года № </w:t>
      </w:r>
      <w:r w:rsidR="00E2273E">
        <w:rPr>
          <w:rFonts w:ascii="Times New Roman" w:hAnsi="Times New Roman"/>
          <w:b w:val="0"/>
          <w:sz w:val="24"/>
          <w:szCs w:val="24"/>
        </w:rPr>
        <w:t>1405</w:t>
      </w:r>
      <w:r w:rsidR="00B468F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B468F4">
        <w:rPr>
          <w:rFonts w:ascii="Times New Roman" w:hAnsi="Times New Roman"/>
          <w:b w:val="0"/>
          <w:bCs w:val="0"/>
          <w:sz w:val="24"/>
        </w:rPr>
        <w:t>О внесении изменений в приложение к постановлению Администрации Кетовского района</w:t>
      </w:r>
      <w:r w:rsidR="00B468F4">
        <w:rPr>
          <w:rFonts w:ascii="Times New Roman" w:hAnsi="Times New Roman"/>
          <w:bCs w:val="0"/>
          <w:sz w:val="24"/>
        </w:rPr>
        <w:t xml:space="preserve"> </w:t>
      </w:r>
      <w:r w:rsidR="00CC2E4E"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D4722A" w:rsidRPr="00B468F4" w:rsidRDefault="00CC2E4E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 xml:space="preserve"> 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="00D4722A"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D4722A" w:rsidRDefault="00D4722A" w:rsidP="00D4722A">
      <w:pPr>
        <w:pStyle w:val="ConsTitle"/>
        <w:widowControl/>
        <w:ind w:left="4254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  <w:r w:rsidRPr="00ED1371">
        <w:rPr>
          <w:rFonts w:ascii="Times New Roman" w:hAnsi="Times New Roman"/>
          <w:b/>
          <w:bCs/>
          <w:sz w:val="24"/>
        </w:rPr>
        <w:t>на 2016-2020 годы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Муниципальная программа Кетовского района Курганской области «Развитие образования и реализация государственной молодежной политики» на 2016-2020 годы (далее –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         (далее –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ED137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«Развитие общего образования»;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Курганской области»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повышение эффективности реализации молодежной политики в Кетовском районе Курганской области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      </w:r>
          </w:p>
          <w:p w:rsidR="002D4649" w:rsidRPr="00ED1371" w:rsidRDefault="005F2626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населения в возрасте от 5 до18 лет,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охваченного общим  образованием, в общей численности населения в возрасте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 в общей численности обучающихся  муниципальных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молодых людей в возрасте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rPr>
                <w:rFonts w:ascii="Times New Roman" w:hAnsi="Times New Roman"/>
                <w:sz w:val="24"/>
                <w:lang w:val="en-US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2016-2020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муниципальной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программы на 2016-2020 годы: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районного бюджета – </w:t>
            </w:r>
            <w:r w:rsidR="00F400EB">
              <w:rPr>
                <w:rFonts w:ascii="Times New Roman" w:hAnsi="Times New Roman"/>
                <w:color w:val="000000"/>
                <w:spacing w:val="-2"/>
                <w:sz w:val="24"/>
              </w:rPr>
              <w:t>1580119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,2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рублей, в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>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2016 год  – 2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36841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296792,4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385453,8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2019 год  – </w:t>
            </w:r>
            <w:r w:rsidR="00F400EB">
              <w:rPr>
                <w:rFonts w:ascii="Times New Roman" w:hAnsi="Times New Roman"/>
                <w:color w:val="000000"/>
                <w:spacing w:val="-2"/>
                <w:sz w:val="24"/>
              </w:rPr>
              <w:t>368117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292914,5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областного бюджета  – </w:t>
            </w:r>
            <w:r w:rsidR="00F400EB">
              <w:rPr>
                <w:rFonts w:ascii="Times New Roman" w:hAnsi="Times New Roman"/>
                <w:spacing w:val="-2"/>
                <w:sz w:val="24"/>
              </w:rPr>
              <w:t>2625957,7</w:t>
            </w:r>
            <w:r w:rsidR="00543BDF">
              <w:rPr>
                <w:rFonts w:ascii="Times New Roman" w:hAnsi="Times New Roman"/>
                <w:color w:val="00B0F0"/>
                <w:spacing w:val="-2"/>
                <w:sz w:val="24"/>
              </w:rPr>
              <w:t xml:space="preserve"> 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2016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353140,6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356695,8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</w:t>
            </w:r>
            <w:r w:rsidRPr="00835CE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426598,7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3A5830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3A5830">
              <w:rPr>
                <w:rFonts w:ascii="Times New Roman" w:hAnsi="Times New Roman"/>
                <w:spacing w:val="-2"/>
                <w:sz w:val="24"/>
              </w:rPr>
              <w:t xml:space="preserve">2019 год – </w:t>
            </w:r>
            <w:r w:rsidR="00F400EB">
              <w:rPr>
                <w:rFonts w:ascii="Times New Roman" w:hAnsi="Times New Roman"/>
                <w:spacing w:val="-2"/>
                <w:sz w:val="24"/>
              </w:rPr>
              <w:t>695408,5</w:t>
            </w:r>
            <w:r w:rsidRPr="003A5830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835CEC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794114,1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      </w:r>
          </w:p>
          <w:p w:rsidR="00F8499C" w:rsidRPr="00ED1371" w:rsidRDefault="00F8499C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F8499C" w:rsidRPr="00ED1371" w:rsidRDefault="00F8499C" w:rsidP="00393E44">
            <w:pPr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создание современных условий реализации образовательных программ;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о</w:t>
            </w: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беспечение доступности качественного образования для лиц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ED1371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и закрепление молодых специалистов в системе образования Кетовск</w:t>
            </w:r>
            <w:r w:rsidR="005639F3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го района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ED1371" w:rsidRDefault="00F8499C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2"/>
                <w:sz w:val="24"/>
              </w:rPr>
              <w:t>в</w:t>
            </w:r>
            <w:r w:rsidRPr="00ED1371">
              <w:rPr>
                <w:rStyle w:val="31"/>
                <w:rFonts w:ascii="Times New Roman" w:hAnsi="Times New Roman"/>
                <w:color w:val="000000"/>
                <w:spacing w:val="-2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CC2E4E" w:rsidRDefault="00D82353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 w:rsidRPr="00CC2E4E">
        <w:rPr>
          <w:rFonts w:ascii="Times New Roman" w:hAnsi="Times New Roman"/>
          <w:b w:val="0"/>
          <w:sz w:val="24"/>
        </w:rPr>
        <w:lastRenderedPageBreak/>
        <w:t xml:space="preserve">Приложение </w:t>
      </w:r>
      <w:r w:rsidR="00CC2E4E">
        <w:rPr>
          <w:rFonts w:ascii="Times New Roman" w:hAnsi="Times New Roman"/>
          <w:b w:val="0"/>
          <w:sz w:val="24"/>
        </w:rPr>
        <w:t xml:space="preserve">2 </w:t>
      </w:r>
      <w:r w:rsidR="00CC2E4E" w:rsidRPr="00CC2E4E">
        <w:rPr>
          <w:rFonts w:ascii="Times New Roman" w:hAnsi="Times New Roman"/>
          <w:b w:val="0"/>
          <w:sz w:val="24"/>
        </w:rPr>
        <w:t>к</w:t>
      </w:r>
      <w:r w:rsidR="00CC2E4E" w:rsidRPr="00ED1371">
        <w:rPr>
          <w:rFonts w:ascii="Times New Roman" w:hAnsi="Times New Roman"/>
          <w:sz w:val="24"/>
        </w:rPr>
        <w:t xml:space="preserve"> </w:t>
      </w:r>
      <w:r w:rsidR="00CC2E4E">
        <w:rPr>
          <w:rFonts w:ascii="Times New Roman" w:hAnsi="Times New Roman"/>
          <w:b w:val="0"/>
          <w:sz w:val="24"/>
          <w:szCs w:val="24"/>
        </w:rPr>
        <w:t>постановлению</w:t>
      </w:r>
      <w:r w:rsidRPr="00CC2E4E"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  <w:r w:rsidR="00CC2E4E">
        <w:rPr>
          <w:rFonts w:ascii="Times New Roman" w:hAnsi="Times New Roman"/>
          <w:b w:val="0"/>
          <w:sz w:val="24"/>
          <w:szCs w:val="24"/>
        </w:rPr>
        <w:t>Администрации Кетовского района от «</w:t>
      </w:r>
      <w:r w:rsidR="00E2273E">
        <w:rPr>
          <w:rFonts w:ascii="Times New Roman" w:hAnsi="Times New Roman"/>
          <w:b w:val="0"/>
          <w:sz w:val="24"/>
          <w:szCs w:val="24"/>
        </w:rPr>
        <w:t>26</w:t>
      </w:r>
      <w:r w:rsidR="00CC2E4E">
        <w:rPr>
          <w:rFonts w:ascii="Times New Roman" w:hAnsi="Times New Roman"/>
          <w:b w:val="0"/>
          <w:sz w:val="24"/>
          <w:szCs w:val="24"/>
        </w:rPr>
        <w:t xml:space="preserve">» </w:t>
      </w:r>
      <w:r w:rsidR="00E2273E">
        <w:rPr>
          <w:rFonts w:ascii="Times New Roman" w:hAnsi="Times New Roman"/>
          <w:b w:val="0"/>
          <w:sz w:val="24"/>
          <w:szCs w:val="24"/>
        </w:rPr>
        <w:t>июля</w:t>
      </w:r>
      <w:r w:rsidR="00CC2E4E">
        <w:rPr>
          <w:rFonts w:ascii="Times New Roman" w:hAnsi="Times New Roman"/>
          <w:b w:val="0"/>
          <w:sz w:val="24"/>
          <w:szCs w:val="24"/>
        </w:rPr>
        <w:t xml:space="preserve"> 2019 года № </w:t>
      </w:r>
      <w:r w:rsidR="00E2273E">
        <w:rPr>
          <w:rFonts w:ascii="Times New Roman" w:hAnsi="Times New Roman"/>
          <w:b w:val="0"/>
          <w:sz w:val="24"/>
          <w:szCs w:val="24"/>
        </w:rPr>
        <w:t>1405</w:t>
      </w:r>
      <w:r w:rsidR="00CC2E4E">
        <w:rPr>
          <w:rFonts w:ascii="Times New Roman" w:hAnsi="Times New Roman"/>
          <w:b w:val="0"/>
          <w:sz w:val="24"/>
          <w:szCs w:val="24"/>
        </w:rPr>
        <w:t xml:space="preserve"> </w:t>
      </w:r>
      <w:r w:rsidR="00CC2E4E">
        <w:rPr>
          <w:rFonts w:ascii="Times New Roman" w:hAnsi="Times New Roman"/>
          <w:sz w:val="24"/>
        </w:rPr>
        <w:t>«</w:t>
      </w:r>
      <w:r w:rsidR="00CC2E4E" w:rsidRPr="00B468F4">
        <w:rPr>
          <w:rFonts w:ascii="Times New Roman" w:hAnsi="Times New Roman"/>
          <w:b w:val="0"/>
          <w:bCs w:val="0"/>
          <w:sz w:val="24"/>
        </w:rPr>
        <w:t>О внесении изменений в приложение к постановлению Администрации Кетовского района</w:t>
      </w:r>
      <w:r w:rsidR="00CC2E4E">
        <w:rPr>
          <w:rFonts w:ascii="Times New Roman" w:hAnsi="Times New Roman"/>
          <w:bCs w:val="0"/>
          <w:sz w:val="24"/>
        </w:rPr>
        <w:t xml:space="preserve"> </w:t>
      </w:r>
      <w:r w:rsidR="00CC2E4E"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CC2E4E" w:rsidRPr="00B468F4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 xml:space="preserve"> 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9F7CB9" w:rsidRDefault="009F7CB9" w:rsidP="00D82353">
      <w:pPr>
        <w:ind w:left="4662"/>
        <w:rPr>
          <w:rFonts w:ascii="Times New Roman" w:hAnsi="Times New Roman"/>
          <w:bCs/>
          <w:sz w:val="24"/>
        </w:rPr>
      </w:pPr>
    </w:p>
    <w:p w:rsidR="009F7CB9" w:rsidRDefault="009F7CB9" w:rsidP="009F7CB9">
      <w:pPr>
        <w:ind w:left="5672"/>
        <w:rPr>
          <w:rFonts w:ascii="Times New Roman" w:hAnsi="Times New Roman"/>
          <w:bCs/>
          <w:sz w:val="24"/>
        </w:rPr>
      </w:pPr>
    </w:p>
    <w:p w:rsidR="009F7CB9" w:rsidRDefault="009F7CB9" w:rsidP="009F7CB9">
      <w:pPr>
        <w:ind w:left="5672"/>
        <w:rPr>
          <w:rFonts w:ascii="Times New Roman" w:hAnsi="Times New Roman"/>
          <w:bCs/>
          <w:sz w:val="24"/>
        </w:rPr>
      </w:pPr>
    </w:p>
    <w:p w:rsidR="009F7CB9" w:rsidRPr="009F7CB9" w:rsidRDefault="009F7CB9" w:rsidP="009F7CB9">
      <w:pPr>
        <w:ind w:left="5672"/>
        <w:rPr>
          <w:rFonts w:ascii="Times New Roman" w:hAnsi="Times New Roman"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  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 удельный вес численности населения в возрасте от 5 до 18 лет, охваченного общим</w:t>
            </w:r>
            <w:r w:rsidRPr="00ED1371">
              <w:rPr>
                <w:rFonts w:ascii="Times New Roman" w:hAnsi="Times New Roman"/>
                <w:color w:val="8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ED1371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14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число международных сопоставительных исследований качества образования, в которых Кетовский район участвует на регулярной основе 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14F" w:rsidRPr="00ED1371" w:rsidRDefault="00F400EB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1357677</w:t>
            </w:r>
            <w:r w:rsidR="00C63FF8">
              <w:rPr>
                <w:rFonts w:ascii="Times New Roman" w:hAnsi="Times New Roman"/>
                <w:sz w:val="24"/>
              </w:rPr>
              <w:t>,5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F400EB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2542974,1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188643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 w:rsidP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231747,6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352986,8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333594,9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425797,7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333</w:t>
            </w:r>
            <w:r w:rsidR="00F400EB">
              <w:rPr>
                <w:rFonts w:ascii="Times New Roman" w:hAnsi="Times New Roman"/>
                <w:sz w:val="24"/>
              </w:rPr>
              <w:t>983</w:t>
            </w:r>
            <w:r w:rsidR="001F15A5">
              <w:rPr>
                <w:rFonts w:ascii="Times New Roman" w:hAnsi="Times New Roman"/>
                <w:sz w:val="24"/>
              </w:rPr>
              <w:t>,5</w:t>
            </w:r>
          </w:p>
          <w:p w:rsidR="00BD714F" w:rsidRPr="00972D19" w:rsidRDefault="00BD714F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3A5830" w:rsidRDefault="00F400EB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693784,6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269</w:t>
            </w:r>
            <w:r w:rsidR="006F2FA2">
              <w:rPr>
                <w:rFonts w:ascii="Times New Roman" w:hAnsi="Times New Roman"/>
                <w:sz w:val="24"/>
              </w:rPr>
              <w:t>708,5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79</w:t>
            </w:r>
            <w:r w:rsidR="00C63FF8">
              <w:rPr>
                <w:rFonts w:ascii="Times New Roman" w:hAnsi="Times New Roman"/>
                <w:sz w:val="24"/>
              </w:rPr>
              <w:t>2490,2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Задача: 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      </w:r>
          </w:p>
          <w:p w:rsidR="001B5DCA" w:rsidRPr="00ED1371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Целевые индикаторы: 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1B5DCA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F15A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58911,3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9236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11149,4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13910,9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1F15A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14589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10026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«Кадровое обеспечение системы образования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999,7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48678,8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43980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D4AC3" w:rsidRPr="00ED1371">
              <w:rPr>
                <w:rFonts w:ascii="Times New Roman" w:hAnsi="Times New Roman"/>
                <w:sz w:val="24"/>
              </w:rPr>
              <w:t>70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309,7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120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100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 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Целевой индикатор: 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162530,7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38762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3115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53625,4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 w:rsidP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D4AC3" w:rsidRPr="00ED1371">
              <w:rPr>
                <w:rFonts w:ascii="Times New Roman" w:hAnsi="Times New Roman"/>
                <w:color w:val="000000"/>
                <w:sz w:val="24"/>
              </w:rPr>
              <w:t>059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37638,3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19425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13080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</w:t>
      </w:r>
      <w:r w:rsidRPr="00ED1371">
        <w:rPr>
          <w:rFonts w:ascii="Times New Roman" w:hAnsi="Times New Roman"/>
          <w:color w:val="000000"/>
          <w:sz w:val="24"/>
        </w:rPr>
        <w:lastRenderedPageBreak/>
        <w:t>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CC2E4E" w:rsidRDefault="001B5DCA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 w:rsidRPr="00CC2E4E">
        <w:rPr>
          <w:rFonts w:ascii="Times New Roman" w:hAnsi="Times New Roman"/>
          <w:b w:val="0"/>
          <w:sz w:val="24"/>
        </w:rPr>
        <w:lastRenderedPageBreak/>
        <w:t xml:space="preserve">Приложение </w:t>
      </w:r>
      <w:r w:rsidR="009F7CB9" w:rsidRPr="00CC2E4E">
        <w:rPr>
          <w:rFonts w:ascii="Times New Roman" w:hAnsi="Times New Roman"/>
          <w:b w:val="0"/>
          <w:sz w:val="24"/>
        </w:rPr>
        <w:t>3</w:t>
      </w:r>
      <w:r w:rsidR="00CC2E4E" w:rsidRPr="00CC2E4E">
        <w:rPr>
          <w:rFonts w:ascii="Times New Roman" w:hAnsi="Times New Roman"/>
          <w:b w:val="0"/>
          <w:sz w:val="24"/>
        </w:rPr>
        <w:t xml:space="preserve"> к</w:t>
      </w:r>
      <w:r w:rsidR="00CC2E4E" w:rsidRPr="00ED1371">
        <w:rPr>
          <w:rFonts w:ascii="Times New Roman" w:hAnsi="Times New Roman"/>
          <w:sz w:val="24"/>
        </w:rPr>
        <w:t xml:space="preserve"> </w:t>
      </w:r>
      <w:r w:rsidR="00CC2E4E">
        <w:rPr>
          <w:rFonts w:ascii="Times New Roman" w:hAnsi="Times New Roman"/>
          <w:b w:val="0"/>
          <w:sz w:val="24"/>
          <w:szCs w:val="24"/>
        </w:rPr>
        <w:t>постановлению</w:t>
      </w:r>
      <w:r w:rsidR="00CC2E4E" w:rsidRPr="00CC2E4E"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  <w:r w:rsidR="00CC2E4E">
        <w:rPr>
          <w:rFonts w:ascii="Times New Roman" w:hAnsi="Times New Roman"/>
          <w:b w:val="0"/>
          <w:sz w:val="24"/>
          <w:szCs w:val="24"/>
        </w:rPr>
        <w:t>Администрации Кетовского района от «</w:t>
      </w:r>
      <w:r w:rsidR="00E2273E">
        <w:rPr>
          <w:rFonts w:ascii="Times New Roman" w:hAnsi="Times New Roman"/>
          <w:b w:val="0"/>
          <w:sz w:val="24"/>
          <w:szCs w:val="24"/>
        </w:rPr>
        <w:t>26</w:t>
      </w:r>
      <w:r w:rsidR="00CC2E4E">
        <w:rPr>
          <w:rFonts w:ascii="Times New Roman" w:hAnsi="Times New Roman"/>
          <w:b w:val="0"/>
          <w:sz w:val="24"/>
          <w:szCs w:val="24"/>
        </w:rPr>
        <w:t xml:space="preserve">» </w:t>
      </w:r>
      <w:r w:rsidR="00E2273E">
        <w:rPr>
          <w:rFonts w:ascii="Times New Roman" w:hAnsi="Times New Roman"/>
          <w:b w:val="0"/>
          <w:sz w:val="24"/>
          <w:szCs w:val="24"/>
        </w:rPr>
        <w:t>июля</w:t>
      </w:r>
      <w:r w:rsidR="00CC2E4E">
        <w:rPr>
          <w:rFonts w:ascii="Times New Roman" w:hAnsi="Times New Roman"/>
          <w:b w:val="0"/>
          <w:sz w:val="24"/>
          <w:szCs w:val="24"/>
        </w:rPr>
        <w:t xml:space="preserve"> 2019 года № </w:t>
      </w:r>
      <w:r w:rsidR="00E2273E">
        <w:rPr>
          <w:rFonts w:ascii="Times New Roman" w:hAnsi="Times New Roman"/>
          <w:b w:val="0"/>
          <w:sz w:val="24"/>
          <w:szCs w:val="24"/>
        </w:rPr>
        <w:t>1405</w:t>
      </w:r>
      <w:r w:rsidR="00CC2E4E">
        <w:rPr>
          <w:rFonts w:ascii="Times New Roman" w:hAnsi="Times New Roman"/>
          <w:b w:val="0"/>
          <w:sz w:val="24"/>
          <w:szCs w:val="24"/>
        </w:rPr>
        <w:t xml:space="preserve"> </w:t>
      </w:r>
      <w:r w:rsidR="00CC2E4E">
        <w:rPr>
          <w:rFonts w:ascii="Times New Roman" w:hAnsi="Times New Roman"/>
          <w:sz w:val="24"/>
        </w:rPr>
        <w:t>«</w:t>
      </w:r>
      <w:r w:rsidR="00CC2E4E" w:rsidRPr="00B468F4">
        <w:rPr>
          <w:rFonts w:ascii="Times New Roman" w:hAnsi="Times New Roman"/>
          <w:b w:val="0"/>
          <w:bCs w:val="0"/>
          <w:sz w:val="24"/>
        </w:rPr>
        <w:t>О внесении изменений в приложение к постановлению Администрации Кетовского района</w:t>
      </w:r>
      <w:r w:rsidR="00CC2E4E">
        <w:rPr>
          <w:rFonts w:ascii="Times New Roman" w:hAnsi="Times New Roman"/>
          <w:bCs w:val="0"/>
          <w:sz w:val="24"/>
        </w:rPr>
        <w:t xml:space="preserve"> </w:t>
      </w:r>
      <w:r w:rsidR="00CC2E4E"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CC2E4E" w:rsidRPr="00B468F4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 xml:space="preserve"> 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1B5DCA" w:rsidRPr="00ED1371" w:rsidRDefault="001B5DCA" w:rsidP="00CC2E4E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(далее –  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125D66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0F393A" w:rsidRPr="00ED1371" w:rsidRDefault="001B5DCA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>формирование 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Охват детей дошкольными образовательными организациями (отношение численности детей в возрасте от 2 месяцев до         3 лет, посещающих дошкольные образовательные организации, к общей численности детей в возрасте от 2 месяцев до 3 лет)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численность детей в дошкольных образовательных организациях, приходящихся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Pr="00ED137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1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Pr="00ED1371">
              <w:rPr>
                <w:rFonts w:ascii="Times New Roman" w:hAnsi="Times New Roman"/>
                <w:sz w:val="24"/>
              </w:rPr>
              <w:t xml:space="preserve"> Мбит/с и выше,</w:t>
            </w:r>
            <w:r w:rsidRPr="00ED1371">
              <w:rPr>
                <w:rFonts w:ascii="Times New Roman" w:hAnsi="Times New Roman"/>
                <w:sz w:val="24"/>
              </w:rPr>
              <w:br/>
              <w:t>в общем числе общеобразовательных организаций, подключенных к информационно-телекоммуникационной сети «Интернет» (сельской местности) (процент);</w:t>
            </w:r>
          </w:p>
          <w:p w:rsidR="001B5DCA" w:rsidRPr="00ED1371" w:rsidRDefault="001B5DCA" w:rsidP="00125D66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 xml:space="preserve">число национальных исследований качества образования,             в которых Кетовский район участвует на регулярной основе </w:t>
            </w:r>
            <w:r w:rsidRPr="00ED1371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(единиц);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F400EB">
              <w:rPr>
                <w:rFonts w:ascii="Times New Roman" w:hAnsi="Times New Roman"/>
                <w:sz w:val="24"/>
              </w:rPr>
              <w:t>1357677</w:t>
            </w:r>
            <w:r w:rsidR="000F4474">
              <w:rPr>
                <w:rFonts w:ascii="Times New Roman" w:hAnsi="Times New Roman"/>
                <w:sz w:val="24"/>
              </w:rPr>
              <w:t>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1</w:t>
            </w:r>
            <w:r w:rsidR="00972D19">
              <w:rPr>
                <w:rFonts w:ascii="Times New Roman" w:hAnsi="Times New Roman"/>
                <w:sz w:val="24"/>
              </w:rPr>
              <w:t>88643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972D19">
              <w:rPr>
                <w:rFonts w:ascii="Times New Roman" w:hAnsi="Times New Roman"/>
                <w:color w:val="000000"/>
                <w:sz w:val="24"/>
              </w:rPr>
              <w:t>231747,6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0F4474">
              <w:rPr>
                <w:rFonts w:ascii="Times New Roman" w:hAnsi="Times New Roman"/>
                <w:color w:val="000000"/>
                <w:sz w:val="24"/>
              </w:rPr>
              <w:t>333594,9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2019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333</w:t>
            </w:r>
            <w:r w:rsidR="001F15A5">
              <w:rPr>
                <w:rFonts w:ascii="Times New Roman" w:hAnsi="Times New Roman"/>
                <w:sz w:val="24"/>
              </w:rPr>
              <w:t>9</w:t>
            </w:r>
            <w:r w:rsidR="00F400EB">
              <w:rPr>
                <w:rFonts w:ascii="Times New Roman" w:hAnsi="Times New Roman"/>
                <w:sz w:val="24"/>
              </w:rPr>
              <w:t>83</w:t>
            </w:r>
            <w:r w:rsidR="009F14B4">
              <w:rPr>
                <w:rFonts w:ascii="Times New Roman" w:hAnsi="Times New Roman"/>
                <w:sz w:val="24"/>
              </w:rPr>
              <w:t>,5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269</w:t>
            </w:r>
            <w:r w:rsidR="009F14B4">
              <w:rPr>
                <w:rFonts w:ascii="Times New Roman" w:hAnsi="Times New Roman"/>
                <w:sz w:val="24"/>
              </w:rPr>
              <w:t>708,5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F400EB">
              <w:rPr>
                <w:rFonts w:ascii="Times New Roman" w:hAnsi="Times New Roman"/>
                <w:sz w:val="24"/>
              </w:rPr>
              <w:t>2565810,3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972D19">
              <w:rPr>
                <w:rFonts w:ascii="Times New Roman" w:hAnsi="Times New Roman"/>
                <w:sz w:val="24"/>
              </w:rPr>
              <w:t>352986,8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972D19" w:rsidRPr="00972D19">
              <w:rPr>
                <w:rFonts w:ascii="Times New Roman" w:hAnsi="Times New Roman"/>
                <w:sz w:val="24"/>
              </w:rPr>
              <w:t>425797,7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3A5830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3A5830">
              <w:rPr>
                <w:rFonts w:ascii="Times New Roman" w:hAnsi="Times New Roman"/>
                <w:sz w:val="24"/>
              </w:rPr>
              <w:t xml:space="preserve">2019 год –  </w:t>
            </w:r>
            <w:r w:rsidR="00F400EB">
              <w:rPr>
                <w:rFonts w:ascii="Times New Roman" w:hAnsi="Times New Roman"/>
                <w:sz w:val="24"/>
              </w:rPr>
              <w:t>693784,6</w:t>
            </w:r>
            <w:r w:rsidRPr="003A5830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C63FF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C63FF8">
              <w:rPr>
                <w:rFonts w:ascii="Times New Roman" w:hAnsi="Times New Roman"/>
                <w:sz w:val="24"/>
              </w:rPr>
              <w:t>792490,2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начального общего, основного общего и среднего общего образования (к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образования); 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сокращение очередности детей от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1,5 до 3 лет в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образования;</w:t>
            </w:r>
          </w:p>
          <w:p w:rsidR="001B5DCA" w:rsidRPr="00ED1371" w:rsidRDefault="001B5DCA" w:rsidP="00125D66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обучающиеся 1-4 классов и 10-11 классов станут обучаться в одну смену, будет удержан существующий односменный режим обучения;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 муниципальных заданий);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Pr="00ED137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участия Кетовского райна в значимых международных сопоставительных и национальных исследованиях качества образования; 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Pr="00ED137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eastAsia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классах; 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eastAsia="Times New Roman" w:hAnsi="Times New Roman"/>
                <w:color w:val="000000"/>
                <w:sz w:val="24"/>
              </w:rPr>
              <w:t>формирование механизмов привлечения общественности к оценке качества общего образования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CC2E4E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 w:rsidRPr="00CC2E4E">
        <w:rPr>
          <w:rFonts w:ascii="Times New Roman" w:hAnsi="Times New Roman"/>
          <w:b w:val="0"/>
          <w:sz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</w:rPr>
        <w:t>4</w:t>
      </w:r>
      <w:r w:rsidRPr="00CC2E4E">
        <w:rPr>
          <w:rFonts w:ascii="Times New Roman" w:hAnsi="Times New Roman"/>
          <w:b w:val="0"/>
          <w:sz w:val="24"/>
        </w:rPr>
        <w:t xml:space="preserve"> к</w:t>
      </w:r>
      <w:r w:rsidRPr="00ED1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постановлению</w:t>
      </w:r>
      <w:r w:rsidRPr="00CC2E4E"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Администрации Кетовского района от «</w:t>
      </w:r>
      <w:r w:rsidR="00E2273E">
        <w:rPr>
          <w:rFonts w:ascii="Times New Roman" w:hAnsi="Times New Roman"/>
          <w:b w:val="0"/>
          <w:sz w:val="24"/>
          <w:szCs w:val="24"/>
        </w:rPr>
        <w:t>26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E2273E">
        <w:rPr>
          <w:rFonts w:ascii="Times New Roman" w:hAnsi="Times New Roman"/>
          <w:b w:val="0"/>
          <w:sz w:val="24"/>
          <w:szCs w:val="24"/>
        </w:rPr>
        <w:t>июля</w:t>
      </w:r>
      <w:r>
        <w:rPr>
          <w:rFonts w:ascii="Times New Roman" w:hAnsi="Times New Roman"/>
          <w:b w:val="0"/>
          <w:sz w:val="24"/>
          <w:szCs w:val="24"/>
        </w:rPr>
        <w:t xml:space="preserve"> 2019 года № </w:t>
      </w:r>
      <w:r w:rsidR="00E2273E">
        <w:rPr>
          <w:rFonts w:ascii="Times New Roman" w:hAnsi="Times New Roman"/>
          <w:b w:val="0"/>
          <w:sz w:val="24"/>
          <w:szCs w:val="24"/>
        </w:rPr>
        <w:t>1405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B468F4">
        <w:rPr>
          <w:rFonts w:ascii="Times New Roman" w:hAnsi="Times New Roman"/>
          <w:b w:val="0"/>
          <w:bCs w:val="0"/>
          <w:sz w:val="24"/>
        </w:rPr>
        <w:t>О внесении изменений в приложение к постановлению Администрации Кетовского района</w:t>
      </w:r>
      <w:r>
        <w:rPr>
          <w:rFonts w:ascii="Times New Roman" w:hAnsi="Times New Roman"/>
          <w:bCs w:val="0"/>
          <w:sz w:val="24"/>
        </w:rPr>
        <w:t xml:space="preserve"> </w:t>
      </w:r>
      <w:r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CC2E4E" w:rsidRPr="00B468F4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 xml:space="preserve"> 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F97285" w:rsidRDefault="00F97285" w:rsidP="00F97285">
      <w:pPr>
        <w:tabs>
          <w:tab w:val="left" w:pos="4962"/>
        </w:tabs>
        <w:rPr>
          <w:rFonts w:ascii="Times New Roman" w:hAnsi="Times New Roman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 w:rsidP="003A5830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</w:t>
      </w:r>
      <w:r w:rsidR="003A5830">
        <w:rPr>
          <w:rFonts w:ascii="Times New Roman" w:eastAsia="Arial" w:hAnsi="Times New Roman"/>
          <w:color w:val="000000"/>
          <w:spacing w:val="-4"/>
          <w:sz w:val="24"/>
        </w:rPr>
        <w:t xml:space="preserve">ием по годам приведен в таблице 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"/>
        <w:gridCol w:w="510"/>
        <w:gridCol w:w="45"/>
        <w:gridCol w:w="3850"/>
        <w:gridCol w:w="234"/>
        <w:gridCol w:w="1536"/>
        <w:gridCol w:w="45"/>
        <w:gridCol w:w="1788"/>
        <w:gridCol w:w="45"/>
        <w:gridCol w:w="1066"/>
        <w:gridCol w:w="45"/>
        <w:gridCol w:w="1048"/>
        <w:gridCol w:w="45"/>
        <w:gridCol w:w="1011"/>
        <w:gridCol w:w="45"/>
        <w:gridCol w:w="1010"/>
        <w:gridCol w:w="45"/>
        <w:gridCol w:w="1047"/>
        <w:gridCol w:w="45"/>
        <w:gridCol w:w="1084"/>
        <w:gridCol w:w="45"/>
      </w:tblGrid>
      <w:tr w:rsidR="001B5DCA" w:rsidRPr="00ED1371" w:rsidTr="00961F52">
        <w:trPr>
          <w:gridBefore w:val="1"/>
          <w:wBefore w:w="45" w:type="dxa"/>
          <w:tblHeader/>
        </w:trPr>
        <w:tc>
          <w:tcPr>
            <w:tcW w:w="5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61F52">
        <w:trPr>
          <w:gridBefore w:val="1"/>
          <w:wBefore w:w="45" w:type="dxa"/>
          <w:trHeight w:val="762"/>
          <w:tblHeader/>
        </w:trPr>
        <w:tc>
          <w:tcPr>
            <w:tcW w:w="5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района к услугам общего образования.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числа общеобразовательных организаций, имеющих скорость подключения к информационно-телекоммуникационной сети «Интернет» от 2 Мбит/с и выше, в общем числе общеобразовательных организаций, </w:t>
            </w:r>
            <w:r w:rsidRPr="00ED1371">
              <w:rPr>
                <w:rFonts w:ascii="Times New Roman" w:eastAsia="Arial" w:hAnsi="Times New Roman"/>
                <w:sz w:val="24"/>
              </w:rPr>
              <w:t>подключенных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к информационно-телекоммуникационной сети «Интернет» (в городских поселениях и сельской местности)</w:t>
            </w:r>
          </w:p>
        </w:tc>
      </w:tr>
      <w:tr w:rsidR="001B5DCA" w:rsidRPr="00ED1371" w:rsidTr="00961F52">
        <w:trPr>
          <w:gridBefore w:val="1"/>
          <w:wBefore w:w="45" w:type="dxa"/>
          <w:trHeight w:val="864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90754,7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41426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A5830" w:rsidRDefault="00543BDF" w:rsidP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3A5830">
              <w:rPr>
                <w:rFonts w:ascii="Times New Roman" w:eastAsia="Arial" w:hAnsi="Times New Roman"/>
                <w:sz w:val="24"/>
              </w:rPr>
              <w:t>72164,9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64667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535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Поддержка развития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негосударственного сектора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Областной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4362,3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485,9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2301,5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76129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1574,9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  <w:trHeight w:val="879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4.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Администрация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734113,2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274798,1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459315,1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25172,3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5277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</w:t>
            </w:r>
            <w:r w:rsidR="000D4AC3" w:rsidRPr="00ED1371">
              <w:rPr>
                <w:rFonts w:ascii="Times New Roman" w:eastAsia="Arial" w:hAnsi="Times New Roman"/>
                <w:sz w:val="24"/>
              </w:rPr>
              <w:t>902,3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7077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6916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 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Организация и обеспечение питанием обучающихся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бюджет,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35</w:t>
            </w:r>
            <w:r w:rsidR="00902A8C">
              <w:rPr>
                <w:rFonts w:ascii="Times New Roman" w:hAnsi="Times New Roman"/>
                <w:sz w:val="24"/>
              </w:rPr>
              <w:t>047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1504</w:t>
            </w:r>
            <w:r w:rsidR="00B45BCE">
              <w:rPr>
                <w:rFonts w:ascii="Times New Roman" w:hAnsi="Times New Roman"/>
                <w:sz w:val="24"/>
              </w:rPr>
              <w:t>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7101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3043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5580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2291,4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254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232,</w:t>
            </w:r>
            <w:r w:rsidR="00B45BCE">
              <w:rPr>
                <w:rFonts w:ascii="Times New Roman" w:eastAsia="Arial" w:hAnsi="Times New Roman"/>
                <w:sz w:val="24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47723,1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13290,1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10730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6991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767</w:t>
            </w:r>
            <w:r w:rsidR="00464667">
              <w:rPr>
                <w:rFonts w:ascii="Times New Roman" w:eastAsia="Arial" w:hAnsi="Times New Roman"/>
                <w:sz w:val="24"/>
              </w:rPr>
              <w:t>178</w:t>
            </w:r>
            <w:r w:rsidR="000F4474">
              <w:rPr>
                <w:rFonts w:ascii="Times New Roman" w:eastAsia="Arial" w:hAnsi="Times New Roman"/>
                <w:sz w:val="24"/>
              </w:rPr>
              <w:t>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133460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143827,7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1711</w:t>
            </w:r>
            <w:r w:rsidR="000F4474">
              <w:rPr>
                <w:rFonts w:ascii="Times New Roman" w:eastAsia="Arial" w:hAnsi="Times New Roman"/>
                <w:sz w:val="24"/>
              </w:rPr>
              <w:t>39,4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7</w:t>
            </w:r>
            <w:r w:rsidR="00556BA7">
              <w:rPr>
                <w:rFonts w:ascii="Times New Roman" w:eastAsia="Arial" w:hAnsi="Times New Roman"/>
                <w:sz w:val="24"/>
              </w:rPr>
              <w:t>67</w:t>
            </w:r>
            <w:r w:rsidR="00464667">
              <w:rPr>
                <w:rFonts w:ascii="Times New Roman" w:eastAsia="Arial" w:hAnsi="Times New Roman"/>
                <w:sz w:val="24"/>
              </w:rPr>
              <w:t>51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420</w:t>
            </w:r>
            <w:r w:rsidR="00E3397E">
              <w:rPr>
                <w:rFonts w:ascii="Times New Roman" w:eastAsia="Arial" w:hAnsi="Times New Roman"/>
                <w:sz w:val="24"/>
              </w:rPr>
              <w:t>00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 школ начальных, основных и средних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573</w:t>
            </w:r>
            <w:r w:rsidR="00E3397E">
              <w:rPr>
                <w:rFonts w:ascii="Times New Roman" w:eastAsia="Arial" w:hAnsi="Times New Roman"/>
                <w:sz w:val="24"/>
              </w:rPr>
              <w:t>383</w:t>
            </w:r>
            <w:r w:rsidR="000F4474">
              <w:rPr>
                <w:rFonts w:ascii="Times New Roman" w:eastAsia="Arial" w:hAnsi="Times New Roman"/>
                <w:sz w:val="24"/>
              </w:rPr>
              <w:t>,6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52140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85539,9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158888,7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E3397E">
              <w:rPr>
                <w:rFonts w:ascii="Times New Roman" w:eastAsia="Arial" w:hAnsi="Times New Roman"/>
                <w:sz w:val="24"/>
              </w:rPr>
              <w:t>2790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</w:t>
            </w:r>
            <w:r w:rsidR="00BE46DA">
              <w:rPr>
                <w:rFonts w:ascii="Times New Roman" w:eastAsia="Arial" w:hAnsi="Times New Roman"/>
                <w:sz w:val="24"/>
              </w:rPr>
              <w:t>40</w:t>
            </w:r>
            <w:r w:rsidR="00E3397E">
              <w:rPr>
                <w:rFonts w:ascii="Times New Roman" w:eastAsia="Arial" w:hAnsi="Times New Roman"/>
                <w:sz w:val="24"/>
              </w:rPr>
              <w:t>2</w:t>
            </w:r>
            <w:r w:rsidR="00BE46DA">
              <w:rPr>
                <w:rFonts w:ascii="Times New Roman" w:eastAsia="Arial" w:hAnsi="Times New Roman"/>
                <w:sz w:val="24"/>
              </w:rPr>
              <w:t>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1B5DCA" w:rsidRPr="00ED1371" w:rsidRDefault="001B5DCA" w:rsidP="009D280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экзамена;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8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1B5DCA" w:rsidRPr="00ED1371" w:rsidTr="00961F52">
        <w:trPr>
          <w:gridAfter w:val="1"/>
          <w:wAfter w:w="45" w:type="dxa"/>
          <w:trHeight w:val="887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12.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2A19B1">
              <w:rPr>
                <w:rFonts w:ascii="Times New Roman" w:eastAsia="Arial" w:hAnsi="Times New Roman"/>
                <w:sz w:val="24"/>
              </w:rPr>
              <w:t>82197,4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66743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81699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85959,4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After w:val="1"/>
          <w:wAfter w:w="45" w:type="dxa"/>
          <w:trHeight w:val="3931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1209409,3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207854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245646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269179,1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14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F400EB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14194,8</w:t>
            </w:r>
          </w:p>
          <w:p w:rsidR="00F400EB" w:rsidRDefault="00F400EB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400EB" w:rsidRPr="00ED1371" w:rsidRDefault="00F400EB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1128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B383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6336,3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F400E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6730,5</w:t>
            </w:r>
          </w:p>
          <w:p w:rsidR="00F400EB" w:rsidRDefault="00F400E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400EB" w:rsidRPr="00ED1371" w:rsidRDefault="00F400E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76041" w:rsidRDefault="001B5DCA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D7604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Внедрение регионального сегмента межведомственной системы учета контингента обучающихся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485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52B1A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18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834D81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F5A2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F5A2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Целевые индикаторы: 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br/>
              <w:t>на регулярной основе;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pacing w:val="-6"/>
                <w:sz w:val="24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основе.</w:t>
            </w: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19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Организация и проведение государственной итоговой аттестации выпускников 9 классов и единого государственного экзамена выпускников  11 классов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общеобразовательных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B45BCE" w:rsidP="00C021CF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="002458DC"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1155,8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88,6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324,2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492,5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250,5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22.</w:t>
            </w:r>
          </w:p>
        </w:tc>
        <w:tc>
          <w:tcPr>
            <w:tcW w:w="3850" w:type="dxa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по основам военной службы с обучающимися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9D2808">
              <w:rPr>
                <w:rFonts w:ascii="Times New Roman" w:hAnsi="Times New Roman"/>
                <w:sz w:val="24"/>
                <w:shd w:val="clear" w:color="auto" w:fill="FFFFFF"/>
              </w:rPr>
              <w:t>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="001B5DCA"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9B3F26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FA6E92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</w:tr>
      <w:tr w:rsidR="001B5DCA" w:rsidRPr="00ED1371" w:rsidTr="00961F52">
        <w:trPr>
          <w:gridBefore w:val="1"/>
          <w:wBefore w:w="45" w:type="dxa"/>
          <w:trHeight w:val="18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 w:rsidP="009F7CB9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D3239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07" w:rsidRDefault="00B10B07">
      <w:r>
        <w:separator/>
      </w:r>
    </w:p>
  </w:endnote>
  <w:endnote w:type="continuationSeparator" w:id="1">
    <w:p w:rsidR="00B10B07" w:rsidRDefault="00B1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07" w:rsidRDefault="00B10B07">
      <w:r>
        <w:separator/>
      </w:r>
    </w:p>
  </w:footnote>
  <w:footnote w:type="continuationSeparator" w:id="1">
    <w:p w:rsidR="00B10B07" w:rsidRDefault="00B10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EA00D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400EB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EA00D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400EB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EA00D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400EB">
      <w:rPr>
        <w:noProof/>
        <w:sz w:val="22"/>
        <w:szCs w:val="22"/>
      </w:rPr>
      <w:t>10</w:t>
    </w:r>
    <w:r>
      <w:rPr>
        <w:sz w:val="22"/>
        <w:szCs w:val="2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EA00D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400EB">
      <w:rPr>
        <w:noProof/>
        <w:sz w:val="22"/>
        <w:szCs w:val="22"/>
      </w:rPr>
      <w:t>15</w:t>
    </w:r>
    <w:r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3B66"/>
    <w:rsid w:val="0002762D"/>
    <w:rsid w:val="00033275"/>
    <w:rsid w:val="000347E3"/>
    <w:rsid w:val="00040DA8"/>
    <w:rsid w:val="00050E55"/>
    <w:rsid w:val="0005685D"/>
    <w:rsid w:val="000762D2"/>
    <w:rsid w:val="000820A5"/>
    <w:rsid w:val="00086186"/>
    <w:rsid w:val="000A4584"/>
    <w:rsid w:val="000A4874"/>
    <w:rsid w:val="000B6325"/>
    <w:rsid w:val="000C249A"/>
    <w:rsid w:val="000D4AC3"/>
    <w:rsid w:val="000E0ACA"/>
    <w:rsid w:val="000E41B9"/>
    <w:rsid w:val="000E4688"/>
    <w:rsid w:val="000E4F09"/>
    <w:rsid w:val="000E6BDA"/>
    <w:rsid w:val="000F393A"/>
    <w:rsid w:val="000F4474"/>
    <w:rsid w:val="0010645D"/>
    <w:rsid w:val="00125D66"/>
    <w:rsid w:val="0014168F"/>
    <w:rsid w:val="001A7627"/>
    <w:rsid w:val="001B5DCA"/>
    <w:rsid w:val="001E2559"/>
    <w:rsid w:val="001E4E1C"/>
    <w:rsid w:val="001E55AF"/>
    <w:rsid w:val="001F15A5"/>
    <w:rsid w:val="001F42FF"/>
    <w:rsid w:val="001F7BBF"/>
    <w:rsid w:val="0021716D"/>
    <w:rsid w:val="00243048"/>
    <w:rsid w:val="002458DC"/>
    <w:rsid w:val="00245940"/>
    <w:rsid w:val="00247E02"/>
    <w:rsid w:val="00253DAF"/>
    <w:rsid w:val="002577D2"/>
    <w:rsid w:val="00286832"/>
    <w:rsid w:val="0029144A"/>
    <w:rsid w:val="002A19B1"/>
    <w:rsid w:val="002C026B"/>
    <w:rsid w:val="002D4649"/>
    <w:rsid w:val="002D55D6"/>
    <w:rsid w:val="002D6B77"/>
    <w:rsid w:val="00302998"/>
    <w:rsid w:val="00303261"/>
    <w:rsid w:val="003207AE"/>
    <w:rsid w:val="00343AD8"/>
    <w:rsid w:val="00393E44"/>
    <w:rsid w:val="0039677B"/>
    <w:rsid w:val="003A5830"/>
    <w:rsid w:val="003B6046"/>
    <w:rsid w:val="003D4301"/>
    <w:rsid w:val="003D4DDA"/>
    <w:rsid w:val="003D6300"/>
    <w:rsid w:val="00407F23"/>
    <w:rsid w:val="00433B70"/>
    <w:rsid w:val="00436365"/>
    <w:rsid w:val="00437958"/>
    <w:rsid w:val="0044347C"/>
    <w:rsid w:val="00464667"/>
    <w:rsid w:val="0047651B"/>
    <w:rsid w:val="00493526"/>
    <w:rsid w:val="00494D31"/>
    <w:rsid w:val="004A193A"/>
    <w:rsid w:val="004D20D9"/>
    <w:rsid w:val="004D2744"/>
    <w:rsid w:val="0050790A"/>
    <w:rsid w:val="00526C51"/>
    <w:rsid w:val="00527D95"/>
    <w:rsid w:val="00533D6D"/>
    <w:rsid w:val="0053480B"/>
    <w:rsid w:val="00537D92"/>
    <w:rsid w:val="00543BDF"/>
    <w:rsid w:val="00552AC7"/>
    <w:rsid w:val="00556BA7"/>
    <w:rsid w:val="0055755D"/>
    <w:rsid w:val="005639F3"/>
    <w:rsid w:val="00564D68"/>
    <w:rsid w:val="00575615"/>
    <w:rsid w:val="00575D22"/>
    <w:rsid w:val="00585351"/>
    <w:rsid w:val="0059253C"/>
    <w:rsid w:val="0059514C"/>
    <w:rsid w:val="005A01C9"/>
    <w:rsid w:val="005A37C1"/>
    <w:rsid w:val="005B5483"/>
    <w:rsid w:val="005F2626"/>
    <w:rsid w:val="005F3BAF"/>
    <w:rsid w:val="005F77CC"/>
    <w:rsid w:val="005F77EC"/>
    <w:rsid w:val="00603F31"/>
    <w:rsid w:val="00616658"/>
    <w:rsid w:val="00616E6A"/>
    <w:rsid w:val="0062794D"/>
    <w:rsid w:val="00653C83"/>
    <w:rsid w:val="006718C9"/>
    <w:rsid w:val="0067793C"/>
    <w:rsid w:val="006A5F98"/>
    <w:rsid w:val="006A6C29"/>
    <w:rsid w:val="006D4E6B"/>
    <w:rsid w:val="006E1D90"/>
    <w:rsid w:val="006F2FA2"/>
    <w:rsid w:val="0071344A"/>
    <w:rsid w:val="00735467"/>
    <w:rsid w:val="00741EF1"/>
    <w:rsid w:val="00753574"/>
    <w:rsid w:val="00760C24"/>
    <w:rsid w:val="00775459"/>
    <w:rsid w:val="0077726E"/>
    <w:rsid w:val="00781CE4"/>
    <w:rsid w:val="007B0E92"/>
    <w:rsid w:val="007B1870"/>
    <w:rsid w:val="007B5728"/>
    <w:rsid w:val="007C2D6A"/>
    <w:rsid w:val="007C475E"/>
    <w:rsid w:val="007C5B06"/>
    <w:rsid w:val="007E6582"/>
    <w:rsid w:val="007F14AE"/>
    <w:rsid w:val="007F5A2E"/>
    <w:rsid w:val="00813316"/>
    <w:rsid w:val="00830D22"/>
    <w:rsid w:val="00834D81"/>
    <w:rsid w:val="00835CEC"/>
    <w:rsid w:val="008445EA"/>
    <w:rsid w:val="008A06FF"/>
    <w:rsid w:val="008B072A"/>
    <w:rsid w:val="008C6BCE"/>
    <w:rsid w:val="00901310"/>
    <w:rsid w:val="00902A8C"/>
    <w:rsid w:val="00910F2D"/>
    <w:rsid w:val="00921487"/>
    <w:rsid w:val="009344BB"/>
    <w:rsid w:val="00935444"/>
    <w:rsid w:val="00942C36"/>
    <w:rsid w:val="0095194A"/>
    <w:rsid w:val="00961F52"/>
    <w:rsid w:val="009645CC"/>
    <w:rsid w:val="00972D19"/>
    <w:rsid w:val="00992A58"/>
    <w:rsid w:val="0099562E"/>
    <w:rsid w:val="009A0DCB"/>
    <w:rsid w:val="009A176A"/>
    <w:rsid w:val="009B3F26"/>
    <w:rsid w:val="009B5C49"/>
    <w:rsid w:val="009D2808"/>
    <w:rsid w:val="009D5D95"/>
    <w:rsid w:val="009E5921"/>
    <w:rsid w:val="009F14B4"/>
    <w:rsid w:val="009F1FB6"/>
    <w:rsid w:val="009F7CB9"/>
    <w:rsid w:val="00A03AC8"/>
    <w:rsid w:val="00A06231"/>
    <w:rsid w:val="00A12924"/>
    <w:rsid w:val="00A24279"/>
    <w:rsid w:val="00A30E8F"/>
    <w:rsid w:val="00A43848"/>
    <w:rsid w:val="00A45BB7"/>
    <w:rsid w:val="00A46C94"/>
    <w:rsid w:val="00A54EFF"/>
    <w:rsid w:val="00A904AB"/>
    <w:rsid w:val="00A91616"/>
    <w:rsid w:val="00AB0A03"/>
    <w:rsid w:val="00AC0BBE"/>
    <w:rsid w:val="00AC1CC4"/>
    <w:rsid w:val="00AC2D26"/>
    <w:rsid w:val="00AC36D0"/>
    <w:rsid w:val="00AE30C1"/>
    <w:rsid w:val="00AF632D"/>
    <w:rsid w:val="00B0052A"/>
    <w:rsid w:val="00B0132B"/>
    <w:rsid w:val="00B0653D"/>
    <w:rsid w:val="00B10B07"/>
    <w:rsid w:val="00B276C5"/>
    <w:rsid w:val="00B35CF4"/>
    <w:rsid w:val="00B45BCE"/>
    <w:rsid w:val="00B468F4"/>
    <w:rsid w:val="00B52B1A"/>
    <w:rsid w:val="00B60F02"/>
    <w:rsid w:val="00B616D5"/>
    <w:rsid w:val="00B92166"/>
    <w:rsid w:val="00BA25EC"/>
    <w:rsid w:val="00BB15CA"/>
    <w:rsid w:val="00BB3838"/>
    <w:rsid w:val="00BC29D6"/>
    <w:rsid w:val="00BD714F"/>
    <w:rsid w:val="00BE2543"/>
    <w:rsid w:val="00BE46DA"/>
    <w:rsid w:val="00C021CF"/>
    <w:rsid w:val="00C5154A"/>
    <w:rsid w:val="00C63FF8"/>
    <w:rsid w:val="00C64460"/>
    <w:rsid w:val="00C65D09"/>
    <w:rsid w:val="00C95846"/>
    <w:rsid w:val="00CB0C82"/>
    <w:rsid w:val="00CC2E4E"/>
    <w:rsid w:val="00CD23F4"/>
    <w:rsid w:val="00D1257A"/>
    <w:rsid w:val="00D12BD7"/>
    <w:rsid w:val="00D17E64"/>
    <w:rsid w:val="00D22153"/>
    <w:rsid w:val="00D235D7"/>
    <w:rsid w:val="00D24A05"/>
    <w:rsid w:val="00D3239E"/>
    <w:rsid w:val="00D36D6D"/>
    <w:rsid w:val="00D4722A"/>
    <w:rsid w:val="00D54301"/>
    <w:rsid w:val="00D64714"/>
    <w:rsid w:val="00D76041"/>
    <w:rsid w:val="00D82353"/>
    <w:rsid w:val="00DB47EE"/>
    <w:rsid w:val="00DC0087"/>
    <w:rsid w:val="00DE31E3"/>
    <w:rsid w:val="00DE3617"/>
    <w:rsid w:val="00E00708"/>
    <w:rsid w:val="00E1153B"/>
    <w:rsid w:val="00E14ED1"/>
    <w:rsid w:val="00E15D90"/>
    <w:rsid w:val="00E170AD"/>
    <w:rsid w:val="00E2273E"/>
    <w:rsid w:val="00E26CCA"/>
    <w:rsid w:val="00E3397E"/>
    <w:rsid w:val="00E54283"/>
    <w:rsid w:val="00E76129"/>
    <w:rsid w:val="00EA00DF"/>
    <w:rsid w:val="00EA3E49"/>
    <w:rsid w:val="00EC0562"/>
    <w:rsid w:val="00ED1371"/>
    <w:rsid w:val="00ED1F03"/>
    <w:rsid w:val="00F0658C"/>
    <w:rsid w:val="00F30ACF"/>
    <w:rsid w:val="00F400EB"/>
    <w:rsid w:val="00F43B48"/>
    <w:rsid w:val="00F55985"/>
    <w:rsid w:val="00F7020A"/>
    <w:rsid w:val="00F76912"/>
    <w:rsid w:val="00F83A32"/>
    <w:rsid w:val="00F8499C"/>
    <w:rsid w:val="00F943AC"/>
    <w:rsid w:val="00F97285"/>
    <w:rsid w:val="00FA59D0"/>
    <w:rsid w:val="00FA6E92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6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qFormat/>
    <w:rsid w:val="00735467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735467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735467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735467"/>
  </w:style>
  <w:style w:type="character" w:customStyle="1" w:styleId="a6">
    <w:name w:val="Маркеры списка"/>
    <w:rsid w:val="00735467"/>
    <w:rPr>
      <w:rFonts w:ascii="OpenSymbol" w:eastAsia="OpenSymbol" w:hAnsi="OpenSymbol" w:cs="OpenSymbol"/>
    </w:rPr>
  </w:style>
  <w:style w:type="character" w:customStyle="1" w:styleId="31">
    <w:name w:val="Основной шрифт абзаца3"/>
    <w:rsid w:val="00735467"/>
  </w:style>
  <w:style w:type="character" w:customStyle="1" w:styleId="WWCharLFO33LVL1">
    <w:name w:val="WW_CharLFO33LVL1"/>
    <w:rsid w:val="00735467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735467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735467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735467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735467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735467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73546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735467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735467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735467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735467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735467"/>
    <w:rPr>
      <w:rFonts w:ascii="Symbol" w:hAnsi="Symbol" w:cs="OpenSymbol"/>
      <w:sz w:val="24"/>
      <w:szCs w:val="24"/>
    </w:rPr>
  </w:style>
  <w:style w:type="character" w:styleId="a7">
    <w:name w:val="Hyperlink"/>
    <w:rsid w:val="00735467"/>
    <w:rPr>
      <w:color w:val="000080"/>
      <w:u w:val="single"/>
    </w:rPr>
  </w:style>
  <w:style w:type="character" w:customStyle="1" w:styleId="20">
    <w:name w:val="Основной шрифт абзаца2"/>
    <w:rsid w:val="00735467"/>
  </w:style>
  <w:style w:type="character" w:customStyle="1" w:styleId="10">
    <w:name w:val="Основной шрифт абзаца1"/>
    <w:rsid w:val="00735467"/>
  </w:style>
  <w:style w:type="character" w:customStyle="1" w:styleId="11">
    <w:name w:val="Гиперссылка1"/>
    <w:rsid w:val="00735467"/>
    <w:rPr>
      <w:color w:val="000080"/>
      <w:u w:val="single"/>
    </w:rPr>
  </w:style>
  <w:style w:type="character" w:styleId="a8">
    <w:name w:val="Emphasis"/>
    <w:qFormat/>
    <w:rsid w:val="00735467"/>
    <w:rPr>
      <w:i/>
      <w:iCs/>
    </w:rPr>
  </w:style>
  <w:style w:type="character" w:customStyle="1" w:styleId="WW8Num3z0">
    <w:name w:val="WW8Num3z0"/>
    <w:rsid w:val="00735467"/>
    <w:rPr>
      <w:rFonts w:ascii="Arial" w:hAnsi="Arial"/>
    </w:rPr>
  </w:style>
  <w:style w:type="character" w:customStyle="1" w:styleId="WW8Num8z0">
    <w:name w:val="WW8Num8z0"/>
    <w:rsid w:val="00735467"/>
    <w:rPr>
      <w:rFonts w:ascii="Symbol" w:hAnsi="Symbol"/>
    </w:rPr>
  </w:style>
  <w:style w:type="character" w:customStyle="1" w:styleId="a9">
    <w:name w:val="Цветовое выделение"/>
    <w:rsid w:val="00735467"/>
    <w:rPr>
      <w:b/>
      <w:bCs/>
      <w:color w:val="26282F"/>
    </w:rPr>
  </w:style>
  <w:style w:type="character" w:customStyle="1" w:styleId="aa">
    <w:name w:val="Гипертекстовая ссылка"/>
    <w:rsid w:val="00735467"/>
    <w:rPr>
      <w:b/>
      <w:bCs/>
      <w:color w:val="106BBE"/>
    </w:rPr>
  </w:style>
  <w:style w:type="character" w:styleId="ab">
    <w:name w:val="Strong"/>
    <w:qFormat/>
    <w:rsid w:val="00735467"/>
    <w:rPr>
      <w:b/>
      <w:bCs/>
    </w:rPr>
  </w:style>
  <w:style w:type="paragraph" w:styleId="a1">
    <w:name w:val="Body Text"/>
    <w:basedOn w:val="a"/>
    <w:link w:val="ac"/>
    <w:rsid w:val="00735467"/>
    <w:pPr>
      <w:spacing w:after="120"/>
    </w:pPr>
  </w:style>
  <w:style w:type="paragraph" w:customStyle="1" w:styleId="ad">
    <w:name w:val="Заголовок"/>
    <w:basedOn w:val="a"/>
    <w:next w:val="a1"/>
    <w:rsid w:val="0073546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735467"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rsid w:val="00735467"/>
    <w:pPr>
      <w:jc w:val="center"/>
    </w:pPr>
    <w:rPr>
      <w:i/>
      <w:iCs/>
    </w:rPr>
  </w:style>
  <w:style w:type="paragraph" w:styleId="af0">
    <w:name w:val="List"/>
    <w:basedOn w:val="a1"/>
    <w:rsid w:val="00735467"/>
    <w:rPr>
      <w:rFonts w:cs="Tahoma"/>
    </w:rPr>
  </w:style>
  <w:style w:type="paragraph" w:styleId="af1">
    <w:name w:val="header"/>
    <w:basedOn w:val="a"/>
    <w:link w:val="af2"/>
    <w:rsid w:val="00735467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rsid w:val="00735467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rsid w:val="00735467"/>
    <w:pPr>
      <w:suppressLineNumbers/>
    </w:pPr>
  </w:style>
  <w:style w:type="paragraph" w:customStyle="1" w:styleId="af5">
    <w:name w:val="Заголовок таблицы"/>
    <w:basedOn w:val="af4"/>
    <w:rsid w:val="00735467"/>
    <w:pPr>
      <w:jc w:val="center"/>
    </w:pPr>
    <w:rPr>
      <w:b/>
      <w:bCs/>
    </w:rPr>
  </w:style>
  <w:style w:type="paragraph" w:customStyle="1" w:styleId="12">
    <w:name w:val="Название1"/>
    <w:basedOn w:val="a"/>
    <w:rsid w:val="0073546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5467"/>
    <w:pPr>
      <w:suppressLineNumbers/>
    </w:pPr>
    <w:rPr>
      <w:rFonts w:cs="Tahoma"/>
    </w:rPr>
  </w:style>
  <w:style w:type="paragraph" w:customStyle="1" w:styleId="Default">
    <w:name w:val="Default"/>
    <w:rsid w:val="00735467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73546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735467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735467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735467"/>
    <w:pPr>
      <w:spacing w:after="120" w:line="480" w:lineRule="auto"/>
      <w:ind w:left="283"/>
    </w:pPr>
  </w:style>
  <w:style w:type="paragraph" w:customStyle="1" w:styleId="14">
    <w:name w:val="Обычный1"/>
    <w:rsid w:val="00735467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735467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735467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6">
    <w:name w:val="List Paragraph"/>
    <w:basedOn w:val="32"/>
    <w:uiPriority w:val="34"/>
    <w:qFormat/>
    <w:rsid w:val="00735467"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rsid w:val="00735467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rsid w:val="00735467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"/>
    <w:rsid w:val="00735467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rsid w:val="00735467"/>
    <w:pPr>
      <w:suppressAutoHyphens w:val="0"/>
      <w:spacing w:after="120"/>
      <w:ind w:left="283"/>
    </w:pPr>
  </w:style>
  <w:style w:type="paragraph" w:customStyle="1" w:styleId="311">
    <w:name w:val="Основной текст 31"/>
    <w:basedOn w:val="a"/>
    <w:rsid w:val="00735467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735467"/>
    <w:pPr>
      <w:suppressAutoHyphens w:val="0"/>
      <w:spacing w:after="120"/>
    </w:pPr>
    <w:rPr>
      <w:sz w:val="16"/>
      <w:szCs w:val="16"/>
    </w:rPr>
  </w:style>
  <w:style w:type="paragraph" w:customStyle="1" w:styleId="312">
    <w:name w:val="Основной текст с отступом 31"/>
    <w:basedOn w:val="a"/>
    <w:rsid w:val="00735467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rsid w:val="00735467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735467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  <w:rsid w:val="00735467"/>
  </w:style>
  <w:style w:type="paragraph" w:customStyle="1" w:styleId="16">
    <w:name w:val="Обычный (веб)1"/>
    <w:basedOn w:val="a"/>
    <w:rsid w:val="00735467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garantf1://5532903.0/" TargetMode="Externa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garantf1://5532903.0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5532903.0/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B621-3BA0-4B25-B923-B47E59D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34977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specmoluser</cp:lastModifiedBy>
  <cp:revision>20</cp:revision>
  <cp:lastPrinted>2019-07-30T05:52:00Z</cp:lastPrinted>
  <dcterms:created xsi:type="dcterms:W3CDTF">2019-07-11T08:37:00Z</dcterms:created>
  <dcterms:modified xsi:type="dcterms:W3CDTF">2019-08-02T12:22:00Z</dcterms:modified>
</cp:coreProperties>
</file>