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BB" w:rsidRDefault="00330736">
      <w:pPr>
        <w:pStyle w:val="Standard"/>
        <w:spacing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841720" cy="3437640"/>
            <wp:effectExtent l="0" t="0" r="6630" b="0"/>
            <wp:wrapSquare wrapText="bothSides"/>
            <wp:docPr id="1" name="Карта г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1720" cy="343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4400" cy="218880"/>
            <wp:effectExtent l="0" t="0" r="0" b="0"/>
            <wp:wrapSquare wrapText="bothSides"/>
            <wp:docPr id="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400" cy="21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Приложение№3</w:t>
      </w:r>
    </w:p>
    <w:p w:rsidR="009715BB" w:rsidRDefault="00330736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>На запрос о предоставлении сведений из Правил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землепользования и застройки Кетовского сельсовета Кетовского района Курганской области для земельного участка площадью 800 кв.м., с кадастровым номером 45:08:040103:735 расположенном по адресу: Курганская область, Кетовский район, с. Кетово, пер. Невский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, уч. 25, сообщаем:</w:t>
      </w:r>
    </w:p>
    <w:p w:rsidR="009715BB" w:rsidRDefault="009715B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9715BB" w:rsidRDefault="00330736">
      <w:pPr>
        <w:pStyle w:val="Standard"/>
        <w:numPr>
          <w:ilvl w:val="0"/>
          <w:numId w:val="21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орого градостроительный регламент не устанавливается.</w:t>
      </w:r>
    </w:p>
    <w:p w:rsidR="009715BB" w:rsidRDefault="009715BB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9715BB" w:rsidRDefault="00330736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9715BB" w:rsidRDefault="00330736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Ж-1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Кетовского сельсовета Кетовского района Курганской области:</w:t>
      </w:r>
    </w:p>
    <w:p w:rsidR="009715BB" w:rsidRDefault="00330736">
      <w:pPr>
        <w:pStyle w:val="Standard"/>
        <w:keepNext/>
        <w:spacing w:before="240" w:after="60" w:line="240" w:lineRule="auto"/>
        <w:outlineLvl w:val="2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Стать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я 69. Градостроительные регламенты. Жилые зоны</w:t>
      </w: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Жилые зоны предназначены для застройки территорий жилыми зданиями, встроено-пристроенными и отдельно стоящими объектами обслуживания, общественного питания и торговли, в том числе:</w:t>
      </w:r>
    </w:p>
    <w:p w:rsidR="009715BB" w:rsidRDefault="00330736">
      <w:pPr>
        <w:pStyle w:val="Standard"/>
        <w:keepNext/>
        <w:spacing w:before="240" w:after="60" w:line="240" w:lineRule="auto"/>
        <w:outlineLvl w:val="3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Ж-1. Зона индивидуальной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усадебной жилой застройки с содержанием скота и птицы</w:t>
      </w: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Зона индивидуальной усадебной жилой застройки с содержанием скота и птицы – территории, застроенные или планируемые к застройке индивидуальными и блокированными жилыми домами с приквартирными участками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ведения ЛПХ (с возможностью содержания скота и птицы).</w:t>
      </w:r>
    </w:p>
    <w:p w:rsidR="009715BB" w:rsidRDefault="00330736">
      <w:pPr>
        <w:pStyle w:val="Standard"/>
        <w:spacing w:before="240" w:after="60" w:line="240" w:lineRule="auto"/>
        <w:outlineLvl w:val="4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Основные виды разрешенного использования:</w:t>
      </w:r>
    </w:p>
    <w:p w:rsidR="009715BB" w:rsidRDefault="0033073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индивидуального жилищного строительства;</w:t>
      </w:r>
    </w:p>
    <w:p w:rsidR="009715BB" w:rsidRDefault="0033073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ведения личного подсобного хозяйства;</w:t>
      </w:r>
    </w:p>
    <w:p w:rsidR="009715BB" w:rsidRDefault="0033073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малоэтажная многоквартирная жилая застройка;</w:t>
      </w:r>
    </w:p>
    <w:p w:rsidR="009715BB" w:rsidRDefault="0033073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коммунальное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обслуживание (размещение линейных объектов, в том числе воздушные линии электропередач напряжением ниже 35 кВ);</w:t>
      </w:r>
    </w:p>
    <w:p w:rsidR="009715BB" w:rsidRDefault="00330736">
      <w:pPr>
        <w:pStyle w:val="Standard"/>
        <w:widowControl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ведение огородничества;</w:t>
      </w:r>
    </w:p>
    <w:p w:rsidR="009715BB" w:rsidRDefault="00330736">
      <w:pPr>
        <w:pStyle w:val="Standard"/>
        <w:widowControl w:val="0"/>
        <w:spacing w:after="0" w:line="240" w:lineRule="auto"/>
        <w:ind w:firstLine="720"/>
        <w:jc w:val="both"/>
      </w:pPr>
      <w:r>
        <w:rPr>
          <w:rFonts w:ascii="Arial" w:eastAsia="Times New Roman" w:hAnsi="Arial" w:cs="Arial"/>
          <w:sz w:val="20"/>
          <w:szCs w:val="24"/>
          <w:lang w:eastAsia="ru-RU"/>
        </w:rPr>
        <w:t>- з</w:t>
      </w:r>
      <w:r>
        <w:rPr>
          <w:rFonts w:ascii="Times New Roman" w:hAnsi="Times New Roman"/>
          <w:sz w:val="24"/>
          <w:szCs w:val="24"/>
          <w:lang w:eastAsia="ru-RU"/>
        </w:rPr>
        <w:t>емельные участки (территории) общего пользования.</w:t>
      </w:r>
    </w:p>
    <w:p w:rsidR="009715BB" w:rsidRDefault="009715B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9715BB" w:rsidRDefault="00330736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lastRenderedPageBreak/>
        <w:drawing>
          <wp:inline distT="0" distB="0" distL="0" distR="0">
            <wp:extent cx="5842800" cy="3438360"/>
            <wp:effectExtent l="0" t="0" r="555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2800" cy="3438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715BB" w:rsidRDefault="00330736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9715BB" w:rsidRDefault="00330736">
      <w:pPr>
        <w:pStyle w:val="Standard"/>
        <w:keepNext/>
        <w:spacing w:before="240" w:after="60" w:line="240" w:lineRule="auto"/>
        <w:jc w:val="both"/>
        <w:outlineLvl w:val="3"/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Вспомогательные виды разрешенног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о использования, к основным видам разрешенного использования: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индивидуального жилищного строительства: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индивидуальных гаражей, а также открытых стоянок, но не более чем на 2 транспортных средства (кате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гория А, В) на 1 земельный участок;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бань, саун, надворных туалетов;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т.д.);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локальных (индивидуальных) очистных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участке, предоставленном для ведения личного подсобного хозяйства: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индивидуальных гаражей, а также открытых стоянок, но не более чем на 2 транспортных средства (категория А, В) на 1 земельный участок;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бань, саун, надворных туалет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т.д.);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локальных (индивидуальных) очистных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забора воды, индивидуальных колодцев;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хитектурных форм;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сооружений для содержания сельскохозяйственных животных;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малоэтажная многоквартирная жилая застройка: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открытых автостоянок для постоянного хранения автомобилей из расчета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 более чем 1 место парковки на 1 квартиру;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размещение индивидуальных гаражей;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разведение декоративных и плодовых деревьев, овощных и ягодных культур;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детских площадок;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спортивных площадок;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площадок отдыха;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размещение иных вспомогательных сооружений.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ведения огородничества: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хозяйственных строений и сооружений, предназначенных для хранения сельскохозяйственных орудий труда и выращенной сельскохозяйственной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продукции;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сооружений, связанных с </w:t>
      </w:r>
      <w:r>
        <w:rPr>
          <w:rFonts w:ascii="Times New Roman" w:hAnsi="Times New Roman"/>
          <w:sz w:val="24"/>
          <w:szCs w:val="24"/>
          <w:lang w:eastAsia="ru-RU"/>
        </w:rPr>
        <w:t>выращиванием плодовых, ягодных, овощных, бахчевых или иных декоративных или сельскохозяйственных культур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(парники, теплицы, оранжереи и т.д.);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скважин для за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бора воды, индивидуальных колодцев;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локальных (индивидуальных) очистных сооружений.</w:t>
      </w:r>
    </w:p>
    <w:p w:rsidR="009715BB" w:rsidRDefault="00330736">
      <w:pPr>
        <w:pStyle w:val="Standard"/>
        <w:spacing w:before="240" w:after="60" w:line="240" w:lineRule="auto"/>
        <w:jc w:val="both"/>
        <w:outlineLvl w:val="4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Условно разрешенные виды использования: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общественное питание;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пищевая промышленность;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бытовое обслуживание (не более чем на 2 рабочих места);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магазины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(площадью торгового объекта не менее 18 кв.м. и не более 60 кв.м.);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коммунальное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коммунальное обсл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уживание (для размещения модульной котельной, выгребной ямы, септика)</w:t>
      </w:r>
    </w:p>
    <w:p w:rsidR="009715BB" w:rsidRDefault="00330736">
      <w:pPr>
        <w:pStyle w:val="Standard"/>
        <w:keepNext/>
        <w:spacing w:before="240" w:after="60" w:line="240" w:lineRule="auto"/>
        <w:jc w:val="both"/>
        <w:outlineLvl w:val="3"/>
      </w:pPr>
      <w:r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Вспомогательные виды разрешенного использования, к условно разрешенным видам использования: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общественного питания: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пищевой промышленности: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бытового обслуживания: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размещения магазина: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скважи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 для забора воды, индивидуальных колодцев;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автостоянок общественного назначения для временного хранения легкового автотранспорта в соответствии с требованиями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 42.13330.2011. «Свод правил. Градостроительство. Планировка и застройка городск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их и сельских поселений. (Актуализированная редакция СНиП 2.07.01-89*)»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техническими регламентами, в том числе региональными нормативами не более чем на 10 машиномест.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малых архитектурных форм;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земельном участке, предоставленном для коммунального обслуживание (размещение зданий или помещений, предназначенных для приема физических и юридических лиц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связи с предоставлением им коммунальных услуг);: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автосто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янок общественного назначения для временного хранения легкового автотранспорта в соответствии с требованиями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СП 42.13330.2011. «Свод правил. Градостроительство. Планировка и застройка городских и сельских поселений. (Актуализированная редакция СНиП 2.07.01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-89*)»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техническими регламентами, в том числе региональными нормативами не более чем на 5 машиномест.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малых архитектурных форм.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участке, предоставленном для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ммунального обслуживание для размещения модульной котельной, выгребной ямы, септика);: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подсобных сооружений;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размещение зеленых насаждения.</w:t>
      </w:r>
    </w:p>
    <w:p w:rsidR="009715BB" w:rsidRDefault="00330736">
      <w:pPr>
        <w:pStyle w:val="Standard"/>
        <w:spacing w:before="240" w:after="60" w:line="240" w:lineRule="auto"/>
        <w:jc w:val="both"/>
        <w:outlineLvl w:val="4"/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Параметры основных, условно разрешённых и вспомогательных и видов разрешенного использования: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Параме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тры основных, условно разрешенных и вспомогательных видов разрешенного использования применяются при соблюдении требований, СП 42.13330.2011. «Свод правил. Градостроительство. Планировка и застройка городских и сельских поселений. (Актуализированная редакц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ия СНиП 2.07.01-89*)», СП 55.13330.2011 «Свод правил Дома жилые одноквартирные (Актуализированная редакция СНиП 31-02-2001)», СП 35-105-2002 «Свод правил Реконструкция городской застройки с учётом доступности для инвалидов и других мало мобильных групп нас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еления», СП 35-102-2001 «Свод правил Жилая среда с планировочными элементами доступными инвалидам», СанПиН 2.4.2.2821-10 "Санитарно-эпидемиологические требования к условиям и организации обучения в общеобразовательных учреждениях", СанПиН 2.2.1/2.1.1.1200-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03 «Санитарно-защитные зоны и санитарная классификация предприятий, сооружений и иных объектов», технических регламентов, в том числе Технического регламента пожарной безопасности (Федеральный закон от 22.07.2008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123-ФЗ "Технический регламент о требовани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ях пожарной безопасности"), региональных нормативов градостроительного проектирования Курганской области.</w:t>
      </w:r>
    </w:p>
    <w:p w:rsidR="009715BB" w:rsidRDefault="00330736">
      <w:pPr>
        <w:pStyle w:val="Standard"/>
        <w:numPr>
          <w:ilvl w:val="0"/>
          <w:numId w:val="22"/>
        </w:numPr>
        <w:spacing w:after="0" w:line="240" w:lineRule="auto"/>
        <w:ind w:left="936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основных видов разрешенного использования устанавливаются следующие предельные параметры:</w:t>
      </w:r>
    </w:p>
    <w:tbl>
      <w:tblPr>
        <w:tblW w:w="967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0"/>
        <w:gridCol w:w="1186"/>
        <w:gridCol w:w="808"/>
        <w:gridCol w:w="807"/>
        <w:gridCol w:w="809"/>
        <w:gridCol w:w="805"/>
        <w:gridCol w:w="811"/>
        <w:gridCol w:w="808"/>
        <w:gridCol w:w="807"/>
        <w:gridCol w:w="993"/>
      </w:tblGrid>
      <w:tr w:rsidR="009715BB">
        <w:tblPrEx>
          <w:tblCellMar>
            <w:top w:w="0" w:type="dxa"/>
            <w:bottom w:w="0" w:type="dxa"/>
          </w:tblCellMar>
        </w:tblPrEx>
        <w:trPr>
          <w:trHeight w:val="833"/>
          <w:tblHeader/>
        </w:trPr>
        <w:tc>
          <w:tcPr>
            <w:tcW w:w="166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Вид разрешенного использования</w:t>
            </w:r>
          </w:p>
        </w:tc>
        <w:tc>
          <w:tcPr>
            <w:tcW w:w="474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Предельные параметры земе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льных участков</w:t>
            </w:r>
          </w:p>
        </w:tc>
        <w:tc>
          <w:tcPr>
            <w:tcW w:w="73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зданий, строений, сооружений, м.</w:t>
            </w:r>
          </w:p>
        </w:tc>
        <w:tc>
          <w:tcPr>
            <w:tcW w:w="7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Максимальный процент*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cantSplit/>
          <w:trHeight w:hRule="exact" w:val="1134"/>
          <w:tblHeader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180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площадь земельного участка, (га)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ширина земельных участков, (м)</w:t>
            </w:r>
          </w:p>
        </w:tc>
        <w:tc>
          <w:tcPr>
            <w:tcW w:w="1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длина земельных участков,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(м)</w:t>
            </w:r>
          </w:p>
        </w:tc>
        <w:tc>
          <w:tcPr>
            <w:tcW w:w="73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7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участка, %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cantSplit/>
          <w:trHeight w:val="1796"/>
          <w:tblHeader/>
        </w:trPr>
        <w:tc>
          <w:tcPr>
            <w:tcW w:w="166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9715B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9715B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9715B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1853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для индивидуального жилищного строительства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1278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1268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малоэтажная многоквартирная жилая застройка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4228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коммунальное обслуживание (размещение линейных объектов, в том числе воздушные линии электропередач напряжением ниже 35 кВ)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973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ведение огородничества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0,15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70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1694"/>
        </w:trPr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1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7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</w:tbl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 к таблице: - *без учета эксплуатируемой кровли подземных, подвальных, цокольных частей объектов-</w:t>
      </w: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НПУ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– не подлежат установлению</w:t>
      </w: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Предельная (минимальная и максимальная) площадь земельных участков, предоставляемых для индивидуального жилищного строительства в соответствии Законом Курганской области от 06.10.2011 </w:t>
      </w:r>
      <w:r>
        <w:rPr>
          <w:rFonts w:ascii="Times New Roman" w:eastAsia="Times New Roman" w:hAnsi="Times New Roman"/>
          <w:sz w:val="20"/>
          <w:szCs w:val="20"/>
          <w:lang w:val="en-GB" w:eastAsia="ru-RU"/>
        </w:rPr>
        <w:t>N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61 "О бесплатном предоставлении земельных у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частков для индивидуального жилищного строительства на территории Курганской области" определяются законодательством Курганской области.</w:t>
      </w: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Максимальный размер общей площади земельных участков, которые могут находиться одновременно на праве собственности и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(или) ином праве у граждан на территории Курганской области, ведущих личное подсобное хозяйство, устанавливается в размере 2,5 гектара.</w:t>
      </w:r>
    </w:p>
    <w:p w:rsidR="009715BB" w:rsidRDefault="009715B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left="936" w:hanging="227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условно разрешенных видов использования устанавливаются следующие предельные параметры:</w:t>
      </w:r>
    </w:p>
    <w:tbl>
      <w:tblPr>
        <w:tblW w:w="956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41"/>
        <w:gridCol w:w="789"/>
        <w:gridCol w:w="789"/>
        <w:gridCol w:w="628"/>
        <w:gridCol w:w="790"/>
        <w:gridCol w:w="783"/>
        <w:gridCol w:w="635"/>
        <w:gridCol w:w="788"/>
        <w:gridCol w:w="943"/>
        <w:gridCol w:w="783"/>
      </w:tblGrid>
      <w:tr w:rsidR="009715BB">
        <w:tblPrEx>
          <w:tblCellMar>
            <w:top w:w="0" w:type="dxa"/>
            <w:bottom w:w="0" w:type="dxa"/>
          </w:tblCellMar>
        </w:tblPrEx>
        <w:trPr>
          <w:trHeight w:val="988"/>
          <w:tblHeader/>
        </w:trPr>
        <w:tc>
          <w:tcPr>
            <w:tcW w:w="237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Вид разрешенного использова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ния</w:t>
            </w:r>
          </w:p>
        </w:tc>
        <w:tc>
          <w:tcPr>
            <w:tcW w:w="39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Предельные параметры земельных участков</w:t>
            </w:r>
          </w:p>
        </w:tc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высота зданий, строений, сооружений, м.</w:t>
            </w:r>
          </w:p>
        </w:tc>
        <w:tc>
          <w:tcPr>
            <w:tcW w:w="84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Максимальное коли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чество надземных этажей зданий, строений, сооружений, ед.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Максимальный процент*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cantSplit/>
          <w:trHeight w:val="1823"/>
          <w:tblHeader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142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площадь земельного участка, (га)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ширина земельных участков,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(м)</w:t>
            </w:r>
          </w:p>
        </w:tc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длина земельных участков, (м)</w:t>
            </w:r>
          </w:p>
        </w:tc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84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застройки в границах земельного участка, %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cantSplit/>
          <w:trHeight w:val="1694"/>
          <w:tblHeader/>
        </w:trPr>
        <w:tc>
          <w:tcPr>
            <w:tcW w:w="237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330736"/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минимальная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максимальная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9715B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9715B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9715BB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</w:pP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1074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общественное питание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0,25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834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пищевая промышленность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0,02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 (не более чем на 2 рабочих места)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0,03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0,04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1698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магазины (площадью торгового объекта не менее 18 кв.м. и не более 60 кв.м.)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0,4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0,6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коммунальное обслуживание (размещение зданий или помещений,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предназначенных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приема физических и юридических лиц в связи с предоставлением им коммунальных услуг)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0,07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0,5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2358"/>
        </w:trPr>
        <w:tc>
          <w:tcPr>
            <w:tcW w:w="2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коммунальное обслуживание (для размещения модульной котельной, выгребной ямы, септика)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0,07</w:t>
            </w:r>
          </w:p>
        </w:tc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0,1</w:t>
            </w:r>
          </w:p>
        </w:tc>
        <w:tc>
          <w:tcPr>
            <w:tcW w:w="56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7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5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13,6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7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</w:tr>
    </w:tbl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 к таблице: - *без учета эксплуатируемой кровли подземных, подвальных, цокольных частей объектов</w:t>
      </w:r>
    </w:p>
    <w:p w:rsidR="009715BB" w:rsidRDefault="009715BB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вспомогательных видов разрешенного использования устанавливаются следующие предельные параметры: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40"/>
        <w:gridCol w:w="2175"/>
        <w:gridCol w:w="1731"/>
        <w:gridCol w:w="1724"/>
      </w:tblGrid>
      <w:tr w:rsidR="009715BB">
        <w:tblPrEx>
          <w:tblCellMar>
            <w:top w:w="0" w:type="dxa"/>
            <w:bottom w:w="0" w:type="dxa"/>
          </w:tblCellMar>
        </w:tblPrEx>
        <w:trPr>
          <w:trHeight w:val="920"/>
          <w:tblHeader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Вид разрешенного использования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пло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щадь зданий, строений, сооружений, (м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Максимальное количество надземных этажей зданий, строений, сооружений, ед.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зданий, строений, сооружений, м.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индивидуальные гаражи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50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открытые стоянки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27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бани, сауны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надворные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 туалеты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сооружений, связанных с выращиванием плодовых, ягодных, овощных, бахчевых или иных декоративных или сельскохозяйственных культур (парники, теплицы, оранжереи и т.д.)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подсобные сооружения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685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локальные (индивидуальные)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очистные сооружения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скважины для забора воды, индивидуальные колодцы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зеленые насаждения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малые архитектурные формы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сооружений для содержания сельскохозяйственных животных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703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разведение декоративных 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плодовых деревьев, овощных и ягодных культур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детские площадки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спортивные площадки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площадки отдыха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иные вспомогательные сооружения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898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хозяйственных строений и сооружений, предназначенных для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хранения сельскохозяйственных орудий труда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 выращенной сельскохозяйственной продукции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lastRenderedPageBreak/>
              <w:t>НПУ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1196"/>
        </w:trPr>
        <w:tc>
          <w:tcPr>
            <w:tcW w:w="39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автостоянок общественного назначения для временного хранения легкового автотранспорта</w:t>
            </w:r>
          </w:p>
        </w:tc>
        <w:tc>
          <w:tcPr>
            <w:tcW w:w="21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88</w:t>
            </w:r>
          </w:p>
        </w:tc>
        <w:tc>
          <w:tcPr>
            <w:tcW w:w="17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  <w:tc>
          <w:tcPr>
            <w:tcW w:w="17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НПУ</w:t>
            </w:r>
          </w:p>
        </w:tc>
      </w:tr>
    </w:tbl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Примечание к таблице: - НПУ – не подлежат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установлению</w:t>
      </w:r>
    </w:p>
    <w:p w:rsidR="009715BB" w:rsidRDefault="009715BB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5BB" w:rsidRDefault="00330736">
      <w:pPr>
        <w:pStyle w:val="Standard"/>
        <w:widowControl w:val="0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Устанавливаются следующие минимальные отступы от границ земельных участков и зданий, строений, сооружений: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земельных участков с видом разрешенного использования: для индивидуального жилищного строительства, для ведения личного подсобног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хозяйства, малоэтажная многоквартирная жилая застройка, для ведения огородничества: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Расстояние от внешних стен индивидуального, многоквартирного жилого дома до фронтальной границы участка (красной линии улиц) до должно быть не менее 5 метров (до красн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ой линии проезда - не менее 3 м), до ограждения участка – не менее 4,5 м. </w:t>
      </w:r>
      <w:r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По красной линии допускается размещать жилые здания со встроенными в первые этажи или пристроенными помещениями общественного назначения.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трансформаторных подстанций до границ уча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стков жилых домов следует принимать не менее 10 м. От края лесопаркового массива до границ ближних участков жилой застройки - не менее 30 м.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Расстояние между боковой границей участка (не прилегающей к красной линии) и основным строением - минимум 3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Расстояние между границей участка со стороны ввода инженерных сетей и основным строением – не менее 6 метров.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До границы смежного земельного участка расстояния по санитарно-бытовым условиям и в зависимости от степени огнестойкости должны быть не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менее: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-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индивидуального, многоквартирного жилого дома</w:t>
      </w:r>
      <w:r>
        <w:rPr>
          <w:rFonts w:ascii="Times New Roman" w:hAnsi="Times New Roman"/>
          <w:sz w:val="24"/>
          <w:szCs w:val="24"/>
          <w:lang w:eastAsia="ru-RU"/>
        </w:rPr>
        <w:t xml:space="preserve"> - 3 метров;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постройки для содержания скота и птицы - 4 метров;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других построек (бани, гаража и др.) - 1 метров;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стволов высокорослых деревьев - 4 метров;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стволов среднерослых деревь</w:t>
      </w:r>
      <w:r>
        <w:rPr>
          <w:rFonts w:ascii="Times New Roman" w:hAnsi="Times New Roman"/>
          <w:sz w:val="24"/>
          <w:szCs w:val="24"/>
          <w:lang w:eastAsia="ru-RU"/>
        </w:rPr>
        <w:t>ев - 2 метров;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>- от кустарника - 1 метров.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Хозяйственные постройки для скота и птицы на земельном участке располагаются с отступом: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красных линий улиц и проездов - минимум 5 метров.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границы соседнего земельного участка - минимум 4 метра;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индив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идуального, многоквартирного жилого дома до построек для скота и птицы - минимум 4 метра, но с учетом того, что сараи для скота и птицы следует размещать на расстоянии от окон жилых помещений дома - не менее 15 м,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бани, гаража и др. - минимум 1 метр;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стволов высокорослых деревьев - минимум 4 метра;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стволов среднерослых деревьев - минимум 2 метра;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кустарника - минимум 1 метр.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6) При условии коллективного размещения сараев для скота и птицы в границах планировочного элемента зоны (квартала) 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асстояние до окон жилых зданий при наличии сараев до 8 блоков - не менее 25 м, свыше 8 до 30 блоков - не менее 50 м. Размещаемые в пределах данной зоны группы сараев должны содержать не более 30 блоков каждая.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Помещения для содержания скота и птицы допу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скается предусматривать пристроенными при условии изоляции их от жилых комнат не менее чем тремя подсобными помещениями. При этом помещения для скота и птицы должны иметь изолированный наружный вход, расположенный не ближе 7 м от входа в жилой дом.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Пост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ройки для скота и птицы следует предусматривать на расстоянии от окон жилых помещений дома: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одиночные или двойные - не менее 15 м;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до 8 блоков - не менее 25 м;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свыше 8 до 30 блоков - не менее 50 м.</w:t>
      </w: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Расстояния от хозяйственных построек для скота 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птицы до шахтных колодцев должно быть не менее 50 м.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10) Расстояния от помещений (сооружений) для содержания и разведения животных до объектов жилой застройки должны быть не менее указанного в </w:t>
      </w:r>
      <w:hyperlink r:id="rId10" w:history="1">
        <w:r>
          <w:t>таблице</w:t>
        </w:r>
      </w:hyperlink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9715BB" w:rsidRDefault="009715B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79" w:type="dxa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16"/>
        <w:gridCol w:w="489"/>
        <w:gridCol w:w="683"/>
        <w:gridCol w:w="1277"/>
        <w:gridCol w:w="1211"/>
        <w:gridCol w:w="1284"/>
        <w:gridCol w:w="1110"/>
        <w:gridCol w:w="1209"/>
      </w:tblGrid>
      <w:tr w:rsidR="009715BB">
        <w:tblPrEx>
          <w:tblCellMar>
            <w:top w:w="0" w:type="dxa"/>
            <w:bottom w:w="0" w:type="dxa"/>
          </w:tblCellMar>
        </w:tblPrEx>
        <w:trPr>
          <w:gridAfter w:val="6"/>
          <w:wAfter w:w="5931" w:type="dxa"/>
          <w:trHeight w:val="126"/>
        </w:trPr>
        <w:tc>
          <w:tcPr>
            <w:tcW w:w="19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Нормативный разрыв</w:t>
            </w:r>
          </w:p>
        </w:tc>
        <w:tc>
          <w:tcPr>
            <w:tcW w:w="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 xml:space="preserve">Поголовье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(шт.), не более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c>
          <w:tcPr>
            <w:tcW w:w="19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330736"/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свиньи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коровы, бычки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овцы, козы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кролики-матки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птица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лошади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5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8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20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30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60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10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c>
          <w:tcPr>
            <w:tcW w:w="1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 м</w:t>
            </w:r>
          </w:p>
        </w:tc>
        <w:tc>
          <w:tcPr>
            <w:tcW w:w="10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  <w:tc>
          <w:tcPr>
            <w:tcW w:w="10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40</w:t>
            </w:r>
          </w:p>
        </w:tc>
        <w:tc>
          <w:tcPr>
            <w:tcW w:w="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75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 w:eastAsia="ru-RU"/>
              </w:rPr>
              <w:t>15</w:t>
            </w:r>
          </w:p>
        </w:tc>
      </w:tr>
    </w:tbl>
    <w:p w:rsidR="009715BB" w:rsidRDefault="009715BB">
      <w:pPr>
        <w:pStyle w:val="Standard"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5BB" w:rsidRDefault="00330736">
      <w:pPr>
        <w:pStyle w:val="Standard"/>
        <w:widowControl w:val="0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11) На территориях с застройкой индивидуальными, многоквартирными жилыми домами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м.</w:t>
      </w:r>
    </w:p>
    <w:p w:rsidR="009715BB" w:rsidRDefault="00330736">
      <w:pPr>
        <w:pStyle w:val="Standard"/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для земельных участков с видом разрешенного использования: магазины (площа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дью торгового объекта не менее 18 кв.м. и не более 60 кв.м.).; коммунальное обслуживание (размещение зданий или помещений, предназначенных для приема физических и юридических лиц в связи с предоставлением им коммунальных услуг); коммунальное обслуживание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для размещения модульной котельной, выгребной ямы, септика) общественное питание; пищевая промышленность; бытовое обслуживание (не более чем на 2 рабочих места):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здания следует располагать с отступом от фронтальной границы участка (красной линии улиц).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Для земельных участков с видом разрешенного использования: коммунальное обслуживание (размещение линейных объектов, в том числе воздушные линии электропередач напряжением ниже 35 кВ); земельные участки (территории) общего пользования, минимальные отступы 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 границ земельных участков и зданий, строений, сооружений не подлежат установлению.</w:t>
      </w:r>
    </w:p>
    <w:p w:rsidR="009715BB" w:rsidRDefault="00330736">
      <w:pPr>
        <w:pStyle w:val="Standard"/>
        <w:widowControl w:val="0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ru-RU"/>
        </w:rPr>
        <w:t xml:space="preserve">Содержание скота и птицы на земельном участке индивидуального жилого дома допускается только на земельном участке не менее 0,1 га. На этих земельных участках допускается </w:t>
      </w:r>
      <w:r>
        <w:rPr>
          <w:rFonts w:ascii="Times New Roman" w:hAnsi="Times New Roman"/>
          <w:sz w:val="24"/>
          <w:szCs w:val="24"/>
          <w:lang w:eastAsia="ru-RU"/>
        </w:rPr>
        <w:t>предусматривать хозяйственные постройки для содержания скота и птицы, хранения кормов, инвентаря, топлива и для других хозяйственных нужд, бани, а также хозяйственные подъезды и скотопрогоны. Состав и площади хозяйственных построек принимаются в соответств</w:t>
      </w:r>
      <w:r>
        <w:rPr>
          <w:rFonts w:ascii="Times New Roman" w:hAnsi="Times New Roman"/>
          <w:sz w:val="24"/>
          <w:szCs w:val="24"/>
          <w:lang w:eastAsia="ru-RU"/>
        </w:rPr>
        <w:t>ии с градостроительным планом земельного участка.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земельном участке индивидуального жилого дома допускается иметь не более двух голов крупного рогатого скота, не более двух голов свиней, не более пяти голов мелкого рогатого скота и кроликов-маток, не бо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лее пятнадцати голов птицы, одну лошадь.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нового строительства допускается блокировка хозяйственных построек на смежных земельных участках по взаимному согласию домовладельцев с учетом соблюдения требований противопожарной безопасности. Бл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окированные хозяйственные постройки могут составлять группы, в каждой из которых может находиться не более 30 блоков.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Площадь застройки блокированных построек не должна превышать 800 кв. м. Колодцы должны располагаться выше по потоку грунтовых вод.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ение пасек и отдельных ульев запрещается.</w:t>
      </w:r>
    </w:p>
    <w:p w:rsidR="009715BB" w:rsidRDefault="00330736">
      <w:pPr>
        <w:pStyle w:val="Standard"/>
        <w:widowControl w:val="0"/>
        <w:numPr>
          <w:ilvl w:val="0"/>
          <w:numId w:val="20"/>
        </w:num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Запрещается размещение жилых помещений в цокольных и подвальных этажах.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Отдельно стоящие хозяйственные постройки по площади не должны превышать площади жилого дома.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Вспомогательные строения, за исключением автосто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янок размещать со стороны улиц не допускается.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Требования к ограждению земельных участков: со стороны улиц характер ограждения и его высота должны быть единообразными как минимум на протяжении одного квартала с обеих сторон улицы. Высота ограждения - не 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олее 1,2 метра. С иных сторон участка – не более 2-х метров.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Мощность локальных очистных сооружений для индивидуального жилого дома не более 3 м</w:t>
      </w:r>
      <w:r>
        <w:rPr>
          <w:noProof/>
          <w:lang w:eastAsia="ru-RU"/>
        </w:rPr>
        <w:drawing>
          <wp:inline distT="0" distB="0" distL="0" distR="0">
            <wp:extent cx="104760" cy="21924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760" cy="2192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z w:val="24"/>
          <w:szCs w:val="24"/>
          <w:lang w:eastAsia="ru-RU"/>
        </w:rPr>
        <w:t>/сут.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Расстояние от общих мусоросборников до окон жилых домов, до границ участков детских учреждений, озелененн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ых площадок следует устанавливать не менее 50 м., но не более 100 м до входа на территорию участка жилого дома.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Размещение и размеры общих игровых и спортивные площадок принимать в соответствии с СП 30-102-99 "Планировка и застройка территорий малоэтажного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строительства",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СП 42.13330.2011. «Свод правил. Градостроительство. Планировка и застройка городских и сельских поселений. (Актуализированная редакция СНиП 2.07.01-89*)»,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СП 35-105-2002 «Свод правил Реконструкция городской застройки с учётом доступности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ля инвалидов и других маломобильных групп населения».</w:t>
      </w:r>
    </w:p>
    <w:p w:rsidR="009715BB" w:rsidRDefault="00330736">
      <w:pPr>
        <w:pStyle w:val="Standard"/>
        <w:numPr>
          <w:ilvl w:val="0"/>
          <w:numId w:val="20"/>
        </w:numPr>
        <w:spacing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Удельный вес озеленённых участков территорий малоэтажной жилой застройки в границах территории жилого района малоэтажной застройки домами индивидуального и блокированного типа составляет не менее 25 %.</w:t>
      </w:r>
    </w:p>
    <w:p w:rsidR="009715BB" w:rsidRDefault="009715B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9715BB" w:rsidRDefault="00330736">
      <w:pPr>
        <w:pStyle w:val="a5"/>
        <w:numPr>
          <w:ilvl w:val="0"/>
          <w:numId w:val="23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акта органа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ийской Федерации, органа местного самоуправления, иной организации,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остроительный регламент не устанавливается</w:t>
      </w:r>
    </w:p>
    <w:p w:rsidR="009715BB" w:rsidRDefault="009715BB">
      <w:pPr>
        <w:pStyle w:val="a5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9715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6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Кетовской районной Думы от 25.07.2018 г. № 324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представительного органа местного самоуправления,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6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«Об утверждении Правил землепользования и застройки Кетовского сельсовета Кетовского района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Курганской области»</w:t>
            </w:r>
          </w:p>
        </w:tc>
      </w:tr>
      <w:tr w:rsidR="009715BB">
        <w:tblPrEx>
          <w:tblCellMar>
            <w:top w:w="0" w:type="dxa"/>
            <w:bottom w:w="0" w:type="dxa"/>
          </w:tblCellMar>
        </w:tblPrEx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715BB" w:rsidRDefault="00330736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реквизиты акта об утверждении правил)</w:t>
            </w:r>
          </w:p>
        </w:tc>
      </w:tr>
    </w:tbl>
    <w:p w:rsidR="009715BB" w:rsidRDefault="009715BB">
      <w:pPr>
        <w:pStyle w:val="Standard"/>
        <w:spacing w:after="0" w:line="240" w:lineRule="auto"/>
        <w:ind w:right="-574"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715BB" w:rsidRDefault="009715B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5BB" w:rsidRDefault="009715BB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9715BB" w:rsidRDefault="00330736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архитектуры и градостроительства                                                                           С.С. Влеско</w:t>
      </w:r>
    </w:p>
    <w:p w:rsidR="009715BB" w:rsidRDefault="009715BB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9715BB">
      <w:pPr>
        <w:pStyle w:val="Standard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9715BB" w:rsidRDefault="00330736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9715BB" w:rsidRDefault="00330736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(35231)2-37-17</w:t>
      </w:r>
    </w:p>
    <w:sectPr w:rsidR="009715BB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736" w:rsidRDefault="00330736">
      <w:r>
        <w:separator/>
      </w:r>
    </w:p>
  </w:endnote>
  <w:endnote w:type="continuationSeparator" w:id="0">
    <w:p w:rsidR="00330736" w:rsidRDefault="00330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736" w:rsidRDefault="00330736">
      <w:r>
        <w:rPr>
          <w:color w:val="000000"/>
        </w:rPr>
        <w:separator/>
      </w:r>
    </w:p>
  </w:footnote>
  <w:footnote w:type="continuationSeparator" w:id="0">
    <w:p w:rsidR="00330736" w:rsidRDefault="00330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38D4"/>
    <w:multiLevelType w:val="multilevel"/>
    <w:tmpl w:val="B478E58E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1">
    <w:nsid w:val="1B3339C4"/>
    <w:multiLevelType w:val="multilevel"/>
    <w:tmpl w:val="93B4FB2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1E637152"/>
    <w:multiLevelType w:val="multilevel"/>
    <w:tmpl w:val="4642C4E4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20D24FB9"/>
    <w:multiLevelType w:val="multilevel"/>
    <w:tmpl w:val="722441C4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214B6A22"/>
    <w:multiLevelType w:val="multilevel"/>
    <w:tmpl w:val="B688FE68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3EE18AE"/>
    <w:multiLevelType w:val="multilevel"/>
    <w:tmpl w:val="F0AEEE16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6">
    <w:nsid w:val="257537F8"/>
    <w:multiLevelType w:val="multilevel"/>
    <w:tmpl w:val="DFAC79D6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2A9F6272"/>
    <w:multiLevelType w:val="multilevel"/>
    <w:tmpl w:val="D1D0CB12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8">
    <w:nsid w:val="2BAA57B8"/>
    <w:multiLevelType w:val="multilevel"/>
    <w:tmpl w:val="FBAED0FA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>
    <w:nsid w:val="304501FF"/>
    <w:multiLevelType w:val="multilevel"/>
    <w:tmpl w:val="9594F7FC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36034B16"/>
    <w:multiLevelType w:val="multilevel"/>
    <w:tmpl w:val="BA7240E2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3D8715AF"/>
    <w:multiLevelType w:val="multilevel"/>
    <w:tmpl w:val="24763408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5F92E46"/>
    <w:multiLevelType w:val="multilevel"/>
    <w:tmpl w:val="C3BECDDA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3">
    <w:nsid w:val="54033A24"/>
    <w:multiLevelType w:val="multilevel"/>
    <w:tmpl w:val="496C1732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578D76AD"/>
    <w:multiLevelType w:val="multilevel"/>
    <w:tmpl w:val="3CA61606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5">
    <w:nsid w:val="6BAB565C"/>
    <w:multiLevelType w:val="multilevel"/>
    <w:tmpl w:val="A14A3562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6">
    <w:nsid w:val="6CC349EA"/>
    <w:multiLevelType w:val="multilevel"/>
    <w:tmpl w:val="CEF05816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6F8B6964"/>
    <w:multiLevelType w:val="multilevel"/>
    <w:tmpl w:val="F926E728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7A42076A"/>
    <w:multiLevelType w:val="multilevel"/>
    <w:tmpl w:val="2B9C814A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7F442995"/>
    <w:multiLevelType w:val="multilevel"/>
    <w:tmpl w:val="04209706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8"/>
  </w:num>
  <w:num w:numId="5">
    <w:abstractNumId w:val="7"/>
  </w:num>
  <w:num w:numId="6">
    <w:abstractNumId w:val="19"/>
  </w:num>
  <w:num w:numId="7">
    <w:abstractNumId w:val="1"/>
  </w:num>
  <w:num w:numId="8">
    <w:abstractNumId w:val="15"/>
  </w:num>
  <w:num w:numId="9">
    <w:abstractNumId w:val="5"/>
  </w:num>
  <w:num w:numId="10">
    <w:abstractNumId w:val="6"/>
  </w:num>
  <w:num w:numId="11">
    <w:abstractNumId w:val="11"/>
  </w:num>
  <w:num w:numId="12">
    <w:abstractNumId w:val="12"/>
  </w:num>
  <w:num w:numId="13">
    <w:abstractNumId w:val="16"/>
  </w:num>
  <w:num w:numId="14">
    <w:abstractNumId w:val="17"/>
  </w:num>
  <w:num w:numId="15">
    <w:abstractNumId w:val="10"/>
  </w:num>
  <w:num w:numId="16">
    <w:abstractNumId w:val="13"/>
  </w:num>
  <w:num w:numId="17">
    <w:abstractNumId w:val="4"/>
  </w:num>
  <w:num w:numId="18">
    <w:abstractNumId w:val="9"/>
  </w:num>
  <w:num w:numId="19">
    <w:abstractNumId w:val="3"/>
  </w:num>
  <w:num w:numId="20">
    <w:abstractNumId w:val="8"/>
  </w:num>
  <w:num w:numId="21">
    <w:abstractNumId w:val="1"/>
    <w:lvlOverride w:ilvl="0">
      <w:startOverride w:val="1"/>
    </w:lvlOverride>
  </w:num>
  <w:num w:numId="22">
    <w:abstractNumId w:val="8"/>
    <w:lvlOverride w:ilvl="0">
      <w:startOverride w:val="1"/>
    </w:lvlOverride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715BB"/>
    <w:rsid w:val="00330736"/>
    <w:rsid w:val="004D5FF2"/>
    <w:rsid w:val="0097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character" w:customStyle="1" w:styleId="a7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#Par2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3174</Words>
  <Characters>18094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21226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2018-09-21T05:32:00Z</cp:lastPrinted>
  <dcterms:created xsi:type="dcterms:W3CDTF">2018-10-26T04:08:00Z</dcterms:created>
  <dcterms:modified xsi:type="dcterms:W3CDTF">2018-12-11T02:58:00Z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