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7A" w:rsidRDefault="00DF1128">
      <w:pPr>
        <w:pStyle w:val="Standard"/>
        <w:spacing w:after="0" w:line="240" w:lineRule="auto"/>
        <w:ind w:firstLine="720"/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5609880" cy="4941360"/>
            <wp:effectExtent l="0" t="0" r="0" b="0"/>
            <wp:wrapSquare wrapText="bothSides"/>
            <wp:docPr id="1" name="КГЗ с. Пименовк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9880" cy="494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8640"/>
            <wp:wrapSquare wrapText="bothSides"/>
            <wp:docPr id="2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8640"/>
            <wp:wrapSquare wrapText="bothSides"/>
            <wp:docPr id="3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8640"/>
            <wp:wrapSquare wrapText="bothSides"/>
            <wp:docPr id="4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8" behindDoc="0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0</wp:posOffset>
            </wp:positionV>
            <wp:extent cx="101160" cy="219960"/>
            <wp:effectExtent l="0" t="0" r="0" b="0"/>
            <wp:wrapSquare wrapText="bothSides"/>
            <wp:docPr id="5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160" cy="21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         Приложение№3</w:t>
      </w:r>
    </w:p>
    <w:p w:rsidR="0065007A" w:rsidRDefault="0065007A">
      <w:pPr>
        <w:pStyle w:val="Standard"/>
        <w:spacing w:after="0" w:line="240" w:lineRule="auto"/>
        <w:ind w:firstLine="720"/>
        <w:jc w:val="both"/>
      </w:pPr>
    </w:p>
    <w:p w:rsidR="0065007A" w:rsidRDefault="00DF1128">
      <w:pPr>
        <w:pStyle w:val="Standard"/>
        <w:spacing w:after="0" w:line="240" w:lineRule="auto"/>
        <w:ind w:firstLine="720"/>
        <w:jc w:val="both"/>
      </w:pP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Из Правил землепользования и застройки Пименовского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сельсовета Кетовского района Курганской области для земельного участка площадью 600 кв.м., с кадастровым номером 45:08:021201:837 расположенном по адресу: Курганская область, Кетовский район, с. Пименовка, ул. Е. Печенкина, 34 А, сообщаем:</w:t>
      </w:r>
    </w:p>
    <w:p w:rsidR="0065007A" w:rsidRDefault="0065007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:rsidR="0065007A" w:rsidRDefault="00DF1128">
      <w:pPr>
        <w:pStyle w:val="Standard"/>
        <w:numPr>
          <w:ilvl w:val="0"/>
          <w:numId w:val="26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pacing w:val="-1"/>
          <w:lang w:eastAsia="ru-RU"/>
        </w:rPr>
        <w:t>Информация о гр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>адостроительном регламенте либо требованиях к назначению, параметрам и размещению объекта капитального строительства на земельном участке, на который действие градостроительного регламента не распространяется или для которого градостроительный регламент не</w:t>
      </w:r>
      <w:r>
        <w:rPr>
          <w:rFonts w:ascii="Times New Roman" w:eastAsia="Times New Roman" w:hAnsi="Times New Roman"/>
          <w:b/>
          <w:bCs/>
          <w:spacing w:val="-1"/>
          <w:lang w:eastAsia="ru-RU"/>
        </w:rPr>
        <w:t xml:space="preserve"> устанавливается.</w:t>
      </w:r>
    </w:p>
    <w:p w:rsidR="0065007A" w:rsidRDefault="0065007A">
      <w:pPr>
        <w:pStyle w:val="Standard"/>
        <w:spacing w:after="0" w:line="240" w:lineRule="auto"/>
        <w:ind w:left="405"/>
        <w:jc w:val="both"/>
        <w:rPr>
          <w:rFonts w:ascii="Times New Roman" w:eastAsia="Times New Roman" w:hAnsi="Times New Roman"/>
          <w:b/>
          <w:bCs/>
          <w:spacing w:val="-1"/>
          <w:lang w:eastAsia="ru-RU"/>
        </w:rPr>
      </w:pPr>
    </w:p>
    <w:p w:rsidR="0065007A" w:rsidRDefault="00DF1128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 градостроительный регламент.  </w:t>
      </w:r>
    </w:p>
    <w:p w:rsidR="0065007A" w:rsidRDefault="00DF1128">
      <w:pPr>
        <w:pStyle w:val="Standard"/>
        <w:spacing w:after="0" w:line="240" w:lineRule="auto"/>
        <w:ind w:firstLine="405"/>
        <w:jc w:val="both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находится в территориальной зоне ОД-2</w:t>
      </w:r>
    </w:p>
    <w:p w:rsidR="0065007A" w:rsidRDefault="0065007A">
      <w:pPr>
        <w:pStyle w:val="Standard"/>
        <w:spacing w:after="0" w:line="240" w:lineRule="auto"/>
        <w:ind w:firstLine="4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7A" w:rsidRDefault="00DF112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правил землепользования и застройки Пименовского сельсовета Кетовского района Курганской области:</w:t>
      </w:r>
    </w:p>
    <w:p w:rsidR="0065007A" w:rsidRDefault="0065007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5007A" w:rsidRDefault="00DF1128">
      <w:pPr>
        <w:pStyle w:val="Default"/>
        <w:jc w:val="center"/>
      </w:pPr>
      <w:r>
        <w:rPr>
          <w:b/>
          <w:bCs/>
          <w:color w:val="00000A"/>
          <w:sz w:val="26"/>
          <w:szCs w:val="26"/>
        </w:rPr>
        <w:t>68.2. Виды разрешѐнного использовани</w:t>
      </w:r>
      <w:r>
        <w:rPr>
          <w:b/>
          <w:bCs/>
          <w:color w:val="00000A"/>
          <w:sz w:val="26"/>
          <w:szCs w:val="26"/>
        </w:rPr>
        <w:t>я зоны ОД-2 объектов</w:t>
      </w:r>
    </w:p>
    <w:p w:rsidR="0065007A" w:rsidRDefault="00DF1128">
      <w:pPr>
        <w:pStyle w:val="Default"/>
        <w:jc w:val="center"/>
      </w:pPr>
      <w:r>
        <w:rPr>
          <w:b/>
          <w:bCs/>
          <w:color w:val="00000A"/>
          <w:sz w:val="26"/>
          <w:szCs w:val="26"/>
        </w:rPr>
        <w:t>Предпринимательства</w:t>
      </w:r>
    </w:p>
    <w:p w:rsidR="0065007A" w:rsidRDefault="0065007A">
      <w:pPr>
        <w:pStyle w:val="Default"/>
        <w:jc w:val="center"/>
        <w:rPr>
          <w:color w:val="00000A"/>
          <w:sz w:val="26"/>
          <w:szCs w:val="26"/>
        </w:rPr>
      </w:pPr>
    </w:p>
    <w:p w:rsidR="0065007A" w:rsidRDefault="00DF1128">
      <w:pPr>
        <w:pStyle w:val="a5"/>
        <w:numPr>
          <w:ilvl w:val="0"/>
          <w:numId w:val="27"/>
        </w:numPr>
        <w:spacing w:after="0" w:line="240" w:lineRule="auto"/>
        <w:jc w:val="both"/>
      </w:pPr>
      <w:r>
        <w:rPr>
          <w:rFonts w:ascii="Times New Roman" w:hAnsi="Times New Roman"/>
          <w:sz w:val="26"/>
          <w:szCs w:val="26"/>
        </w:rPr>
        <w:t>Основные виды разрешенного использования</w:t>
      </w:r>
    </w:p>
    <w:p w:rsidR="0065007A" w:rsidRDefault="00DF1128">
      <w:pPr>
        <w:pStyle w:val="a5"/>
        <w:spacing w:after="0" w:line="240" w:lineRule="auto"/>
        <w:jc w:val="right"/>
      </w:pPr>
      <w:r>
        <w:rPr>
          <w:rFonts w:ascii="Times New Roman" w:hAnsi="Times New Roman"/>
          <w:sz w:val="23"/>
          <w:szCs w:val="23"/>
        </w:rPr>
        <w:t>Таблица 12</w:t>
      </w:r>
    </w:p>
    <w:p w:rsidR="0065007A" w:rsidRDefault="0065007A">
      <w:pPr>
        <w:pStyle w:val="Default"/>
      </w:pP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6"/>
        <w:gridCol w:w="3479"/>
        <w:gridCol w:w="2519"/>
      </w:tblGrid>
      <w:tr w:rsidR="0065007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Виды разрешенного использования земельных участков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Параметры разрешенного строительства и </w:t>
            </w:r>
            <w:r>
              <w:rPr>
                <w:b/>
                <w:bCs/>
                <w:sz w:val="23"/>
                <w:szCs w:val="23"/>
              </w:rPr>
              <w:t xml:space="preserve">использования </w:t>
            </w:r>
            <w:r>
              <w:rPr>
                <w:b/>
                <w:bCs/>
                <w:sz w:val="23"/>
                <w:szCs w:val="23"/>
              </w:rPr>
              <w:lastRenderedPageBreak/>
              <w:t>земельных участков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lastRenderedPageBreak/>
              <w:t>Объекты торговли (код 4.2)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Торговые центры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57, 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6500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Торгово-развлекательные центры (комплексы)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65007A">
            <w:pPr>
              <w:pStyle w:val="Default"/>
              <w:rPr>
                <w:sz w:val="23"/>
                <w:szCs w:val="23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Рынки (код 4.3)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 xml:space="preserve">Объекты капитального строительства, сооружения, предназначенные для организации </w:t>
            </w:r>
            <w:r>
              <w:rPr>
                <w:sz w:val="23"/>
                <w:szCs w:val="23"/>
              </w:rPr>
              <w:t>постоянной или временной торговли (ярмарка, рынок, базар)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Каждое из торговых мест площадью не более 200 кв.м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Магазины (код 4.4)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Объекты капитального строительства, предназначенные для продажи товаров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57, 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 xml:space="preserve">Банковская и страховая </w:t>
            </w:r>
            <w:r>
              <w:rPr>
                <w:sz w:val="23"/>
                <w:szCs w:val="23"/>
              </w:rPr>
              <w:t>деятельность (код 4.5)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Объекты капитального строительства, предназначенные для размещения организаций, оказывающих банковские и страховые услуги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57, 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34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Общественное питание (код 4.6)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Кафе</w:t>
            </w:r>
          </w:p>
        </w:tc>
        <w:tc>
          <w:tcPr>
            <w:tcW w:w="251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57, 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65007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Столовые</w:t>
            </w:r>
          </w:p>
        </w:tc>
        <w:tc>
          <w:tcPr>
            <w:tcW w:w="251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65007A">
            <w:pPr>
              <w:pStyle w:val="Default"/>
              <w:rPr>
                <w:sz w:val="23"/>
                <w:szCs w:val="23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457"/>
        </w:trPr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Гостиничное обслуживание (код 4.7)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Гостиницы</w:t>
            </w:r>
          </w:p>
        </w:tc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57, 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  <w:ind w:firstLine="3402"/>
            </w:pPr>
            <w:r>
              <w:rPr>
                <w:sz w:val="23"/>
                <w:szCs w:val="23"/>
              </w:rPr>
              <w:t>ИИные здания, используемые с целью извлечения предпринимательской выгоды из предоставления жилого помещения для временного проживания в нем</w:t>
            </w:r>
          </w:p>
        </w:tc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34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Развлечения (код 4.8)</w:t>
            </w:r>
          </w:p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 xml:space="preserve">Дискотеки и </w:t>
            </w:r>
            <w:r>
              <w:rPr>
                <w:sz w:val="23"/>
                <w:szCs w:val="23"/>
              </w:rPr>
              <w:t>танцевальные площадки</w:t>
            </w:r>
          </w:p>
        </w:tc>
        <w:tc>
          <w:tcPr>
            <w:tcW w:w="25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57, 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Ночные клубы</w:t>
            </w:r>
          </w:p>
        </w:tc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Аквапарк</w:t>
            </w:r>
          </w:p>
        </w:tc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Боулинг</w:t>
            </w:r>
          </w:p>
        </w:tc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Аттракционы</w:t>
            </w:r>
          </w:p>
        </w:tc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  <w:tc>
          <w:tcPr>
            <w:tcW w:w="34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Игровые площадки</w:t>
            </w:r>
          </w:p>
        </w:tc>
        <w:tc>
          <w:tcPr>
            <w:tcW w:w="25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DF1128"/>
        </w:tc>
      </w:tr>
    </w:tbl>
    <w:p w:rsidR="0065007A" w:rsidRDefault="00DF1128">
      <w:pPr>
        <w:pStyle w:val="a5"/>
        <w:numPr>
          <w:ilvl w:val="0"/>
          <w:numId w:val="25"/>
        </w:numPr>
        <w:spacing w:after="0" w:line="240" w:lineRule="auto"/>
      </w:pPr>
      <w:r>
        <w:rPr>
          <w:rFonts w:ascii="Times New Roman" w:hAnsi="Times New Roman"/>
          <w:sz w:val="24"/>
          <w:szCs w:val="24"/>
        </w:rPr>
        <w:t>Вспомогательные виды разрешенного использования</w:t>
      </w:r>
    </w:p>
    <w:p w:rsidR="0065007A" w:rsidRDefault="00DF1128">
      <w:pPr>
        <w:pStyle w:val="a5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Таблица 13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67"/>
        <w:gridCol w:w="3468"/>
        <w:gridCol w:w="2529"/>
      </w:tblGrid>
      <w:tr w:rsidR="0065007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Виды разрешенного использования земельных участков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 xml:space="preserve">Содержание видов </w:t>
            </w:r>
            <w:r>
              <w:rPr>
                <w:b/>
                <w:bCs/>
                <w:sz w:val="23"/>
                <w:szCs w:val="23"/>
              </w:rPr>
              <w:t>разрешенного использования земельных участков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Параметры разрешенного строительства и использования земельных участков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85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Объекты торговли (код 4.2)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Гаражи и (или) стоянки для автомобилей сотрудников и посетителей торгового центра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 xml:space="preserve">Рынки (код </w:t>
            </w:r>
            <w:r>
              <w:rPr>
                <w:sz w:val="23"/>
                <w:szCs w:val="23"/>
              </w:rPr>
              <w:t>4.3)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Гаражи и (или) стоянки для автомобилей сотрудников и посетителей рынка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58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247"/>
        </w:trPr>
        <w:tc>
          <w:tcPr>
            <w:tcW w:w="34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Обслуживание автотранспорта (код 4.9)</w:t>
            </w:r>
          </w:p>
        </w:tc>
        <w:tc>
          <w:tcPr>
            <w:tcW w:w="34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Стоянки (парковки)</w:t>
            </w:r>
          </w:p>
        </w:tc>
        <w:tc>
          <w:tcPr>
            <w:tcW w:w="25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Таблица 58</w:t>
            </w:r>
          </w:p>
        </w:tc>
      </w:tr>
    </w:tbl>
    <w:p w:rsidR="0065007A" w:rsidRDefault="00DF1128">
      <w:pPr>
        <w:pStyle w:val="a5"/>
        <w:numPr>
          <w:ilvl w:val="0"/>
          <w:numId w:val="25"/>
        </w:numPr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Условно разрешенные виды использования</w:t>
      </w:r>
    </w:p>
    <w:p w:rsidR="0065007A" w:rsidRDefault="00DF1128">
      <w:pPr>
        <w:pStyle w:val="a5"/>
        <w:spacing w:after="0" w:line="240" w:lineRule="auto"/>
        <w:jc w:val="right"/>
      </w:pPr>
      <w:r>
        <w:rPr>
          <w:rFonts w:ascii="Times New Roman" w:hAnsi="Times New Roman"/>
          <w:sz w:val="24"/>
          <w:szCs w:val="24"/>
        </w:rPr>
        <w:t>Таблица 14</w:t>
      </w:r>
    </w:p>
    <w:tbl>
      <w:tblPr>
        <w:tblW w:w="9464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80"/>
        <w:gridCol w:w="3482"/>
        <w:gridCol w:w="2502"/>
      </w:tblGrid>
      <w:tr w:rsidR="0065007A"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Виды разрешенного использования земельных </w:t>
            </w:r>
            <w:r>
              <w:rPr>
                <w:b/>
                <w:bCs/>
                <w:sz w:val="23"/>
                <w:szCs w:val="23"/>
              </w:rPr>
              <w:t>участков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Содержание видов разрешенного использования земельных участков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b/>
                <w:bCs/>
                <w:sz w:val="23"/>
                <w:szCs w:val="23"/>
              </w:rPr>
              <w:t>Параметры разрешенного строительства и использования земельных участков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3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Амбулаторное ветеринарное обслуживание (код 3.10.1)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Объекты капитального строительства, предназначенные для</w:t>
            </w:r>
            <w:r>
              <w:rPr>
                <w:sz w:val="23"/>
                <w:szCs w:val="23"/>
              </w:rPr>
              <w:t xml:space="preserve"> оказания ветеринарных услуг</w:t>
            </w:r>
          </w:p>
        </w:tc>
        <w:tc>
          <w:tcPr>
            <w:tcW w:w="25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Без содержания животных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4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Обслуживание автотранспорта (код 4.9)</w:t>
            </w:r>
          </w:p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Постоянные или временные гаражи с несколькими стояночными местами</w:t>
            </w:r>
          </w:p>
        </w:tc>
        <w:tc>
          <w:tcPr>
            <w:tcW w:w="25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Максимальная этажность надземной части объектов – 2 этажа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109"/>
        </w:trPr>
        <w:tc>
          <w:tcPr>
            <w:tcW w:w="34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1128"/>
        </w:tc>
        <w:tc>
          <w:tcPr>
            <w:tcW w:w="3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7A" w:rsidRDefault="00DF1128">
            <w:pPr>
              <w:pStyle w:val="Default"/>
            </w:pPr>
            <w:r>
              <w:rPr>
                <w:sz w:val="23"/>
                <w:szCs w:val="23"/>
              </w:rPr>
              <w:t>Гаражи, в том числе многоярусные</w:t>
            </w:r>
          </w:p>
        </w:tc>
        <w:tc>
          <w:tcPr>
            <w:tcW w:w="25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DF1128"/>
        </w:tc>
      </w:tr>
    </w:tbl>
    <w:p w:rsidR="0065007A" w:rsidRDefault="0065007A">
      <w:pPr>
        <w:pStyle w:val="a5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7A" w:rsidRDefault="00DF1128">
      <w:pPr>
        <w:pStyle w:val="Standard"/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5609520" cy="4941719"/>
            <wp:effectExtent l="0" t="0" r="0" b="0"/>
            <wp:docPr id="6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09520" cy="49417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65007A" w:rsidRDefault="00DF1128">
      <w:pPr>
        <w:pStyle w:val="Standard"/>
        <w:spacing w:after="0" w:line="240" w:lineRule="auto"/>
        <w:ind w:left="4320" w:firstLine="720"/>
        <w:jc w:val="both"/>
      </w:pPr>
      <w:r>
        <w:rPr>
          <w:rFonts w:ascii="Times New Roman" w:eastAsia="Times New Roman" w:hAnsi="Times New Roman"/>
          <w:i/>
          <w:sz w:val="24"/>
          <w:szCs w:val="24"/>
          <w:u w:val="single"/>
          <w:lang w:eastAsia="ru-RU"/>
        </w:rPr>
        <w:t>Размещение земельного участка</w:t>
      </w:r>
    </w:p>
    <w:p w:rsidR="0065007A" w:rsidRDefault="0065007A">
      <w:pPr>
        <w:pStyle w:val="Standard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5007A" w:rsidRDefault="00DF1128">
      <w:pPr>
        <w:pStyle w:val="Standard"/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Таблица 57</w:t>
      </w:r>
    </w:p>
    <w:tbl>
      <w:tblPr>
        <w:tblW w:w="9917" w:type="dxa"/>
        <w:tblInd w:w="-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3"/>
        <w:gridCol w:w="736"/>
        <w:gridCol w:w="618"/>
        <w:gridCol w:w="314"/>
        <w:gridCol w:w="305"/>
        <w:gridCol w:w="619"/>
        <w:gridCol w:w="776"/>
        <w:gridCol w:w="619"/>
        <w:gridCol w:w="775"/>
        <w:gridCol w:w="469"/>
        <w:gridCol w:w="1236"/>
        <w:gridCol w:w="775"/>
        <w:gridCol w:w="776"/>
        <w:gridCol w:w="620"/>
        <w:gridCol w:w="776"/>
      </w:tblGrid>
      <w:tr w:rsidR="0065007A">
        <w:tblPrEx>
          <w:tblCellMar>
            <w:top w:w="0" w:type="dxa"/>
            <w:bottom w:w="0" w:type="dxa"/>
          </w:tblCellMar>
        </w:tblPrEx>
        <w:trPr>
          <w:gridAfter w:val="11"/>
          <w:wAfter w:w="7079" w:type="dxa"/>
          <w:tblHeader/>
        </w:trPr>
        <w:tc>
          <w:tcPr>
            <w:tcW w:w="459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№</w:t>
            </w:r>
          </w:p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</w:t>
            </w:r>
          </w:p>
        </w:tc>
        <w:tc>
          <w:tcPr>
            <w:tcW w:w="672" w:type="dxa"/>
            <w:vMerge w:val="restart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Кодовое обозначение территориальных зон и видов разрешенного использования земельных участков</w:t>
            </w:r>
          </w:p>
        </w:tc>
        <w:tc>
          <w:tcPr>
            <w:tcW w:w="852" w:type="dxa"/>
            <w:gridSpan w:val="2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Градостроительные регламенты территориальных зон, функциональные зоны для которых градостроительные регламенты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не устанавливаются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459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1128"/>
        </w:tc>
        <w:tc>
          <w:tcPr>
            <w:tcW w:w="672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1128"/>
        </w:tc>
        <w:tc>
          <w:tcPr>
            <w:tcW w:w="4109" w:type="dxa"/>
            <w:gridSpan w:val="8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Предельные параметры земельных участков</w:t>
            </w:r>
          </w:p>
        </w:tc>
        <w:tc>
          <w:tcPr>
            <w:tcW w:w="3822" w:type="dxa"/>
            <w:gridSpan w:val="5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65007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cantSplit/>
          <w:trHeight w:val="2423"/>
          <w:tblHeader/>
        </w:trPr>
        <w:tc>
          <w:tcPr>
            <w:tcW w:w="459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1128"/>
        </w:tc>
        <w:tc>
          <w:tcPr>
            <w:tcW w:w="672" w:type="dxa"/>
            <w:vMerge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000000" w:rsidRDefault="00DF1128"/>
        </w:tc>
        <w:tc>
          <w:tcPr>
            <w:tcW w:w="565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площадь земельных участков, (га)</w:t>
            </w:r>
          </w:p>
        </w:tc>
        <w:tc>
          <w:tcPr>
            <w:tcW w:w="566" w:type="dxa"/>
            <w:gridSpan w:val="2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площадь земельных участков, (га)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 ширина земельных участков, (м)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ширина земельных участков, (м)</w:t>
            </w:r>
          </w:p>
        </w:tc>
        <w:tc>
          <w:tcPr>
            <w:tcW w:w="566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Минимальная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длина земельных участков,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длина земельных участков, (м)</w:t>
            </w:r>
          </w:p>
        </w:tc>
        <w:tc>
          <w:tcPr>
            <w:tcW w:w="42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Норма делимости, (м)</w:t>
            </w:r>
          </w:p>
        </w:tc>
        <w:tc>
          <w:tcPr>
            <w:tcW w:w="112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before="100" w:after="10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Минимальные отступы от границ зем-х участков в целях определе-ния мест допустимого размещения зданий, строений, сооружений,  (м)</w:t>
            </w:r>
          </w:p>
        </w:tc>
        <w:tc>
          <w:tcPr>
            <w:tcW w:w="708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Минимальное количество надземных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этажей зданий, строений, сооружений, (ед.)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Максимальное количество надземных этажей зданий, строений, сооружений, (ед.)</w:t>
            </w:r>
          </w:p>
        </w:tc>
        <w:tc>
          <w:tcPr>
            <w:tcW w:w="567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Максимальная высота зданий, строений, сооружений (м.)</w:t>
            </w:r>
          </w:p>
        </w:tc>
        <w:tc>
          <w:tcPr>
            <w:tcW w:w="709" w:type="dxa"/>
            <w:tcBorders>
              <w:top w:val="single" w:sz="2" w:space="0" w:color="00000A"/>
              <w:left w:val="single" w:sz="2" w:space="0" w:color="00000A"/>
              <w:bottom w:val="doub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65007A" w:rsidRDefault="00DF1128">
            <w:pPr>
              <w:pStyle w:val="Standard"/>
              <w:spacing w:after="0" w:line="240" w:lineRule="auto"/>
              <w:ind w:left="113" w:right="113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Минимальный процент застройки в границах земельного участка*, (процент)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5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widowControl w:val="0"/>
              <w:spacing w:after="0" w:line="240" w:lineRule="auto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2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a7"/>
              <w:ind w:left="28" w:right="28"/>
              <w:jc w:val="center"/>
            </w:pPr>
            <w:r>
              <w:rPr>
                <w:b/>
                <w:sz w:val="20"/>
                <w:szCs w:val="20"/>
              </w:rPr>
              <w:t>ОД-2</w:t>
            </w:r>
          </w:p>
        </w:tc>
        <w:tc>
          <w:tcPr>
            <w:tcW w:w="565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566" w:type="dxa"/>
            <w:gridSpan w:val="2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1,2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42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112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sz w:val="20"/>
                <w:szCs w:val="20"/>
              </w:rPr>
              <w:t>25</w:t>
            </w:r>
          </w:p>
        </w:tc>
      </w:tr>
    </w:tbl>
    <w:p w:rsidR="0065007A" w:rsidRDefault="00DF112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Примечание.</w:t>
      </w:r>
    </w:p>
    <w:p w:rsidR="0065007A" w:rsidRDefault="00DF1128">
      <w:pPr>
        <w:pStyle w:val="Standard"/>
        <w:numPr>
          <w:ilvl w:val="1"/>
          <w:numId w:val="24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* без учета эксплуатируемой кровли подземных, подвальных, цокольных частей объектов</w:t>
      </w:r>
    </w:p>
    <w:p w:rsidR="0065007A" w:rsidRDefault="00DF1128">
      <w:pPr>
        <w:pStyle w:val="Standard"/>
        <w:numPr>
          <w:ilvl w:val="1"/>
          <w:numId w:val="24"/>
        </w:numPr>
        <w:spacing w:after="0" w:line="240" w:lineRule="auto"/>
      </w:pPr>
      <w:r>
        <w:rPr>
          <w:rFonts w:ascii="Times New Roman" w:eastAsia="Times New Roman" w:hAnsi="Times New Roman"/>
          <w:sz w:val="20"/>
          <w:szCs w:val="20"/>
          <w:lang w:val="en-GB" w:eastAsia="ru-RU"/>
        </w:rPr>
        <w:t>НПУ- не подлежат установлен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ию</w:t>
      </w:r>
    </w:p>
    <w:p w:rsidR="0065007A" w:rsidRPr="009C431B" w:rsidRDefault="00DF1128">
      <w:pPr>
        <w:pStyle w:val="3"/>
        <w:spacing w:before="0" w:after="0"/>
        <w:jc w:val="center"/>
        <w:rPr>
          <w:lang w:val="ru-RU"/>
        </w:rPr>
      </w:pPr>
      <w:bookmarkStart w:id="1" w:name="_Toc466906127"/>
      <w:bookmarkStart w:id="2" w:name="_Toc336852991"/>
      <w:bookmarkStart w:id="3" w:name="_Toc312827187"/>
      <w:bookmarkStart w:id="4" w:name="_Toc300156243"/>
      <w:r>
        <w:rPr>
          <w:rFonts w:ascii="Times New Roman" w:hAnsi="Times New Roman"/>
          <w:sz w:val="24"/>
          <w:szCs w:val="24"/>
          <w:lang w:val="ru-RU"/>
        </w:rPr>
        <w:t xml:space="preserve">Статья 87. Предельные величины размеров земельных участков объектов капитального </w:t>
      </w:r>
      <w:r>
        <w:rPr>
          <w:rFonts w:ascii="Times New Roman" w:hAnsi="Times New Roman"/>
          <w:sz w:val="24"/>
          <w:szCs w:val="24"/>
          <w:lang w:val="ru-RU"/>
        </w:rPr>
        <w:t>строительства и территорий с назначенными видами разрешённого использования</w:t>
      </w:r>
      <w:bookmarkEnd w:id="1"/>
      <w:bookmarkEnd w:id="2"/>
      <w:bookmarkEnd w:id="3"/>
      <w:bookmarkEnd w:id="4"/>
    </w:p>
    <w:p w:rsidR="0065007A" w:rsidRDefault="00DF1128">
      <w:pPr>
        <w:pStyle w:val="Standard"/>
        <w:ind w:firstLine="851"/>
        <w:jc w:val="both"/>
      </w:pPr>
      <w:r>
        <w:rPr>
          <w:rFonts w:ascii="Times New Roman" w:hAnsi="Times New Roman"/>
          <w:sz w:val="24"/>
          <w:szCs w:val="24"/>
        </w:rPr>
        <w:t xml:space="preserve">Предельные минимальные и (или) максимальные размеры земельных участков с указанием территориальной зоны, </w:t>
      </w:r>
      <w:r>
        <w:rPr>
          <w:rFonts w:ascii="Times New Roman" w:hAnsi="Times New Roman"/>
          <w:b/>
          <w:sz w:val="24"/>
          <w:szCs w:val="24"/>
        </w:rPr>
        <w:t>для конкретных объектов</w:t>
      </w:r>
      <w:r>
        <w:rPr>
          <w:rFonts w:ascii="Times New Roman" w:hAnsi="Times New Roman"/>
          <w:sz w:val="24"/>
          <w:szCs w:val="24"/>
        </w:rPr>
        <w:t>.</w:t>
      </w:r>
    </w:p>
    <w:p w:rsidR="0065007A" w:rsidRDefault="00DF1128">
      <w:pPr>
        <w:pStyle w:val="Standard"/>
        <w:jc w:val="both"/>
      </w:pPr>
      <w:r>
        <w:rPr>
          <w:rFonts w:ascii="Times New Roman" w:hAnsi="Times New Roman"/>
          <w:sz w:val="24"/>
          <w:szCs w:val="24"/>
        </w:rPr>
        <w:t xml:space="preserve">Данные параметры соответствуют требованиям </w:t>
      </w:r>
      <w:r>
        <w:rPr>
          <w:rFonts w:ascii="Times New Roman" w:hAnsi="Times New Roman"/>
          <w:bCs/>
          <w:iCs/>
          <w:sz w:val="24"/>
          <w:szCs w:val="24"/>
        </w:rPr>
        <w:t>СП 42.1</w:t>
      </w:r>
      <w:r>
        <w:rPr>
          <w:rFonts w:ascii="Times New Roman" w:hAnsi="Times New Roman"/>
          <w:bCs/>
          <w:iCs/>
          <w:sz w:val="24"/>
          <w:szCs w:val="24"/>
        </w:rPr>
        <w:t xml:space="preserve">3330.2011, </w:t>
      </w:r>
      <w:r>
        <w:rPr>
          <w:rFonts w:ascii="Times New Roman" w:hAnsi="Times New Roman"/>
          <w:sz w:val="24"/>
          <w:szCs w:val="24"/>
        </w:rPr>
        <w:t>СП 30-102-99,  СНиП 31-06-2009,СанПиН 2.4.2.2821-10, СанПиН 2.4.1.2660-10, СНиП 21-02-99*, СанПиН 2.2.1/2.1.1.1200-03, СанПиН 2.4.4.1204-03,СанПиН 2.4.3.1186-03, СанПиН 2.4.4.1251-03, СанПиН 42-125-4437-87, СанПиН 2.1.3.2630-10, региональных нор</w:t>
      </w:r>
      <w:r>
        <w:rPr>
          <w:rFonts w:ascii="Times New Roman" w:hAnsi="Times New Roman"/>
          <w:sz w:val="24"/>
          <w:szCs w:val="24"/>
        </w:rPr>
        <w:t>мативов градостроительного проектирования Курганской области. Размеры земельных участков, не нормируемые строительными и санитарными нормами и правилами установлены по наиболее часто встречающимся случаям (***).</w:t>
      </w:r>
    </w:p>
    <w:p w:rsidR="0065007A" w:rsidRDefault="00DF1128">
      <w:pPr>
        <w:pStyle w:val="Standard"/>
        <w:ind w:firstLine="851"/>
        <w:jc w:val="right"/>
      </w:pPr>
      <w:r>
        <w:rPr>
          <w:rFonts w:ascii="Times New Roman" w:hAnsi="Times New Roman"/>
          <w:sz w:val="24"/>
          <w:szCs w:val="24"/>
        </w:rPr>
        <w:t>Таблица 58</w:t>
      </w: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2126"/>
        <w:gridCol w:w="1843"/>
        <w:gridCol w:w="2268"/>
      </w:tblGrid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Учреждения, предприятия, сооружен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ия, единица измерения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Размеры земельных участков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Территориальные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Примечания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социальной, культурно-бытовой и коммунальной инфраструктуры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Организации, учреждения, управления. Кредитно-финансовые учреждения.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Административно-хозяйственные,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деловые и общественные учреждения 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0,1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ОД-1, 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 30-102-99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Отделения связи, объект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0,1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30-102-99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Отделения и филиалы банков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(встроенно-пристроенные и отдельно стоящие)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0,1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ОД-1, 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30-102-99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Отделения, участковые пункты полиции (отдельно стоящие)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0,05 – 0,15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П-2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30-102-99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12-95,региональные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народного образования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Детские </w:t>
            </w:r>
            <w:r>
              <w:rPr>
                <w:rFonts w:ascii="Times New Roman" w:hAnsi="Times New Roman"/>
                <w:sz w:val="20"/>
                <w:szCs w:val="20"/>
              </w:rPr>
              <w:t>дошкольные учреждения, место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Не менее 150 м2 при норме: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10 мест – 35м2х10 = 350м2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25 мест – 35м2х25 = 900м2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50 мест – 35м2х50 = 1800 м2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СанПиН 2.4.1.2660-10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Общеобразовательные школы, учащиеся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50 мест – 50м2х50 = 2500 м2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200 мест </w:t>
            </w:r>
            <w:r>
              <w:rPr>
                <w:rFonts w:ascii="Times New Roman" w:hAnsi="Times New Roman"/>
                <w:sz w:val="20"/>
                <w:szCs w:val="20"/>
              </w:rPr>
              <w:t>– 50м2х200 = 10000м2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500 мест – 60м2х500 = 30000м2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СанПиН 2.4.2.2821-10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Внешкольные учреждения дополнительного образования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500 - 1000м2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среднего специального и профессионального образования без учеб</w:t>
            </w:r>
            <w:r>
              <w:rPr>
                <w:rFonts w:ascii="Times New Roman" w:hAnsi="Times New Roman"/>
                <w:sz w:val="20"/>
                <w:szCs w:val="20"/>
              </w:rPr>
              <w:t>но-лабораторных и учебно-производственных корпусов и мастерских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до 300 мест -1,4-2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СанПиН 2.4.3.1186-03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Учреждения среднего специального и профессионального образования с учебно-лабораторными и учебно-производственными корпусами и мастерскими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/>
                <w:sz w:val="20"/>
                <w:szCs w:val="20"/>
              </w:rPr>
              <w:t>300 мест -2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СанПиН 2.4.3.1186-03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Учреждения здравоохранения, социального обеспечения, спортивные и физкультурно-оздоровительные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сооружения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Поликлиники, амбулатории,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Минимум 0,5га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СанПиН 2.1.3.2630-10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нормативы </w:t>
            </w:r>
            <w:r>
              <w:rPr>
                <w:rFonts w:ascii="Times New Roman" w:hAnsi="Times New Roman"/>
                <w:sz w:val="20"/>
                <w:szCs w:val="20"/>
              </w:rPr>
              <w:t>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Пункты скорой медицинской помощи,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0.05 - 0,1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Фельдшерские или фельдшерско-акушерские пункты, общая врачебная практика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Аптеки (отдельно стоящие)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(код Классификатора 4.4 </w:t>
            </w:r>
            <w:r>
              <w:rPr>
                <w:rFonts w:ascii="Times New Roman" w:hAnsi="Times New Roman"/>
                <w:sz w:val="20"/>
                <w:szCs w:val="20"/>
              </w:rPr>
              <w:t>применительно)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 – 0,4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Ж-1, Ж-2, ОД-1, 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 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Аптечные киоски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0,08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Ж-1, Ж-2, ОД-1, 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Молочные кухни, (отдельно стоящие)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Туристские базы,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65-80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7" name="Рисунок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1 место; 0,1 – 1,0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Центры обслуживания туристов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0,05-0,1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ОД-1, 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Кемпинги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135-150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1 место; 0,1 – 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Р-1, 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Гостиницы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55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828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1 место; 0,1 – 0,3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ОД-2, 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Специальные учреждения социальной защиты: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Центры социального обслуживания населения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 – 0,1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Физкультурно-спортивные сооружения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Стадионы (поля и площадки для спортивных игр)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 </w:t>
            </w:r>
            <w:r>
              <w:rPr>
                <w:rFonts w:ascii="Times New Roman" w:hAnsi="Times New Roman"/>
                <w:sz w:val="20"/>
                <w:szCs w:val="20"/>
              </w:rPr>
              <w:t>- 0,9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Универсальные спортивные залы общего пользования,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0,25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СП 31-112-2004</w:t>
            </w:r>
          </w:p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Тренажёрные залы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СП 31-112-2004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Катки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0,02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Хоккейные площадки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Теннисные корты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Детские и юношеские спортивные школы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Солярии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Лыжные базы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 – 0,1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культуры и искусства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Клубы и учреждения клубного типа; кинотеатры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 </w:t>
            </w:r>
            <w:r>
              <w:rPr>
                <w:rFonts w:ascii="Times New Roman" w:hAnsi="Times New Roman"/>
                <w:sz w:val="20"/>
                <w:szCs w:val="20"/>
              </w:rPr>
              <w:t>42.13330.2011,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Библиотеки (отдельно стоящие), архивы, информационные центры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 – 0,1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Конфессиональные (культовые) объекты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0,02 – 0,3 га при норме до 7 м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01520" cy="220320"/>
                  <wp:effectExtent l="0" t="0" r="0" b="0"/>
                  <wp:docPr id="10" name="Рисунок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520" cy="220320"/>
                          </a:xfrm>
                          <a:prstGeom prst="rect">
                            <a:avLst/>
                          </a:prstGeom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площади участка на единицу вместимости храма;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31-103-99, 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Предприятия торговли, общественного питания и бытового обслуживания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Магазины, м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торговой площади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до 50 м2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св 50 до 100 м2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св 100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 – 0,04 га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 – 0,1 га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0,3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Ж-1, Ж-2, ОД-1, ОД-2, П-1, П-2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30-102-99, 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Открытые рынки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 7 до 14 м2 на 1 м2 торговой площади </w:t>
            </w:r>
            <w:r>
              <w:rPr>
                <w:rFonts w:ascii="Times New Roman" w:hAnsi="Times New Roman"/>
                <w:sz w:val="20"/>
                <w:szCs w:val="20"/>
              </w:rPr>
              <w:t>рыночного комплекса в зависимости от вместимости: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14 м2 - при торговой площади до 600 м2,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7 м2 - св. 3000 м2, но не более ,025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ОД-2, П-2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 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Временные торговые объекты: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торговые павильоны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торговые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киоски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0,02 – 0,1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Все территориальные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Мини-рынки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Предприятия общественного питания, столовые,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sz w:val="20"/>
                <w:szCs w:val="20"/>
              </w:rPr>
              <w:t>кафе, закусочные, бары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 50  пос.мест    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св. 50 до 150                          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07A" w:rsidRDefault="0065007A">
            <w:pPr>
              <w:pStyle w:val="Standard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0,2-0,15  га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0,2-0,25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ОД-1, ОД-2, П-1,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 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Приёмные пункты  предприятий бытового обслуживания и предприятия бытового обслуживания (парикмахерские и т.д.) (отдельно стоящие) на 1 – 3 раб места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 – 0,05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ОД-1, 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бани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0,2-0,4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ОД-1, 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Учреждения жилищно-коммунального хозяйства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Предприятия жилищно-коммунального хозяйства и обслуживающие компании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0,07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Пункт приема вторичного сырья, объект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 га на объект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П-2,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ритуального назначения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Бюро похоронного обслуживания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0,25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Кладбище традиционного захоронения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0,24 га на 1 тыс. чел. Но не менее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СН-1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Сооружения для хранения и обслуживания транспортных средств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Гаражи для </w:t>
            </w:r>
            <w:r>
              <w:rPr>
                <w:rFonts w:ascii="Times New Roman" w:hAnsi="Times New Roman"/>
                <w:sz w:val="20"/>
                <w:szCs w:val="20"/>
              </w:rPr>
              <w:t>хранения индивидуальных легковых автомобилей: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65007A">
            <w:pPr>
              <w:pStyle w:val="Standard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Боксового типа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30 м2 на один бокс, но не более 0,075 га (25 боксов) на один блок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Ж-2, ОД-1, ОД-2, П-1, П-2, П-3</w:t>
            </w:r>
          </w:p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Индивидуальные на придомовом участке на 1-2 легковых автомобиля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30м2 – </w:t>
            </w:r>
            <w:r>
              <w:rPr>
                <w:rFonts w:ascii="Times New Roman" w:hAnsi="Times New Roman"/>
                <w:sz w:val="20"/>
                <w:szCs w:val="20"/>
              </w:rPr>
              <w:t>60м2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Ж-1, Ж-2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Автостоянки для временного хранения индивидуальных легковых автомобилей открытые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25м2 на одно место, но не более 0,13 га (50 мест) на одну стоянку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Гаражи грузовых автомобилей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 – 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П-1, П-2,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Автостоянки для временного хранения грузовых автомобилей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П-1, 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Автозаправочные станции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ОД-3, П-2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Авторемонтные и автосервисные предприятия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ОД-3, П-2,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более 5 постов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Автомойки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 – 0,1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ОД-3, 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 блее 2х постов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Прочие объекты и виды использования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Пожарные депо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 – 1,0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Технический регламент по пожарной безопасности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Ветлечебницы без содержания животных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0,3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ОД-2,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СХ-3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Ветлечебницы с содержанием животных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0,3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СХ-3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Производственные, коммунально-складские и инженерно-технические объекты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Строительная промышленность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Нормативный  размер  участка   промышленного   предприятия  принимается равным </w:t>
            </w:r>
            <w:r>
              <w:rPr>
                <w:rFonts w:ascii="Times New Roman" w:hAnsi="Times New Roman"/>
                <w:sz w:val="20"/>
                <w:szCs w:val="20"/>
              </w:rPr>
              <w:t>отношению площади  его застройки  к показателю  нормативной плотности застройки площадок промышленных предприятий в соответствии со СНиП, но не менее 0,5 га; более 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П-1, П-2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Обработка древес</w:t>
            </w:r>
            <w:r>
              <w:rPr>
                <w:rFonts w:ascii="Times New Roman" w:hAnsi="Times New Roman"/>
                <w:sz w:val="20"/>
                <w:szCs w:val="20"/>
              </w:rPr>
              <w:t>ины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П-1, П-2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Обработка пищевых продуктов и вкусовых веществ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П-1, 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Текстильные производства и производства </w:t>
            </w:r>
            <w:r>
              <w:rPr>
                <w:rFonts w:ascii="Times New Roman" w:hAnsi="Times New Roman"/>
                <w:sz w:val="20"/>
                <w:szCs w:val="20"/>
              </w:rPr>
              <w:t>легкой промышленности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--//--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Объекты складского назначения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Оптовые базы и склады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размер  участка   складского объекта  принимается по инвестиционному предложению, но не менее 0,5 га, не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более 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Здания управления и другие здания, сооружения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Здания управления предприятий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0,3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П-1, 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Объекты энергетики и инженерной инфраструктуры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Котельные и энергоблоки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0,7 - 1,0 </w:t>
            </w:r>
            <w:r>
              <w:rPr>
                <w:rFonts w:ascii="Times New Roman" w:hAnsi="Times New Roman"/>
                <w:sz w:val="20"/>
                <w:szCs w:val="20"/>
              </w:rPr>
              <w:t>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Скважины ХПВ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0,25 – 0,3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Станции водоподготовки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 – 1,2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Водонапорные башни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 – 1,0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Трансформаторные подстанции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 – 0,05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Теплопункты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0,03 – 0,05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ОД-1,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ОД-2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Газораспределительные пункты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Т-2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Газораспределительные станции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0,5 – 1,0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Очистные сооружения очистки ХБ стоков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0,2 – 0,5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СН-2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Локальные очистные сооружения очистки ливневых стоков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ИТ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Природно-рекреационные территории и объекты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Парки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1,0 – 2,0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Скверы, сады, бульвары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0,05 – 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СП 42.13330.2011,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Городские леса</w:t>
            </w:r>
          </w:p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лесопарки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--------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Озеленение специального назначения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 соответствии с требованиями СаНПиН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2.2.1/2.1.1.1200-03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Р-2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Оборудованные места для пикников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 – 0,02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Детские площадки, площадки для отдыха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 – 0,05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Ж-1, Ж-2, ОД-3,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Р-1, Р-2, 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Некапитальные вспомогательные строения и инфраструктура для отдыха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 – 0,03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Р-1, Р-2, 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Пункты проката спортивно-рекреационного инвентаря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0,02 – 0,05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Р-3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Объекты, предназначенные для обеспечения функционирования и нормальной эксплуатации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земельных участков и объектов капитального строительства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78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Инженерно-технические объекты, сооружения и коммуникации (транспорт, связь и т.д.)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Улицы, дороги, иные пешеходно-транспортные коммуникации вне территорий общего пользования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размер  участка   приним</w:t>
            </w:r>
            <w:r>
              <w:rPr>
                <w:rFonts w:ascii="Times New Roman" w:hAnsi="Times New Roman"/>
                <w:sz w:val="20"/>
                <w:szCs w:val="20"/>
              </w:rPr>
              <w:t>ается по инвестиционному предложению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Автоматические телефонные станции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0,1- 0,3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П-1, 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Антенны сотовой радиорелейной и спутниковой связи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0,3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П-1, 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нормативы </w:t>
            </w:r>
            <w:r>
              <w:rPr>
                <w:rFonts w:ascii="Times New Roman" w:hAnsi="Times New Roman"/>
                <w:sz w:val="20"/>
                <w:szCs w:val="20"/>
              </w:rPr>
              <w:t>Курганской области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Объекты пожарной охраны  (резервуары, пожарные водоемы)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0,1 – 0,3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Объекты благоустройства: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Площадки для выгула собак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 – 0,02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Ж-1, Ж-2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региональные</w:t>
            </w:r>
          </w:p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нормативы Курганской области.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Элементы благоустройства, </w:t>
            </w:r>
            <w:r>
              <w:rPr>
                <w:rFonts w:ascii="Times New Roman" w:hAnsi="Times New Roman"/>
                <w:sz w:val="20"/>
                <w:szCs w:val="20"/>
              </w:rPr>
              <w:t>малые архитектурные формы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Общественные туалеты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0,01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ОД-1, ОД-2, Р-2,    Р-3, П-1, П-2, П-3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Объекты санитарной очистки территории: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65007A">
            <w:pPr>
              <w:pStyle w:val="Standard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35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</w:pPr>
            <w:r>
              <w:rPr>
                <w:rFonts w:ascii="Times New Roman" w:hAnsi="Times New Roman"/>
                <w:sz w:val="20"/>
                <w:szCs w:val="20"/>
              </w:rPr>
              <w:t>Площадки для мусорных контейнеров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0,003 - 0,005 га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Все зоны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</w:tcPr>
          <w:p w:rsidR="0065007A" w:rsidRDefault="00DF1128">
            <w:pPr>
              <w:pStyle w:val="Standard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***</w:t>
            </w:r>
          </w:p>
        </w:tc>
      </w:tr>
    </w:tbl>
    <w:p w:rsidR="0065007A" w:rsidRDefault="0065007A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5007A" w:rsidRDefault="00DF1128">
      <w:pPr>
        <w:pStyle w:val="Standard"/>
        <w:numPr>
          <w:ilvl w:val="0"/>
          <w:numId w:val="28"/>
        </w:numPr>
        <w:spacing w:after="0" w:line="240" w:lineRule="auto"/>
        <w:jc w:val="both"/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Реквизиты акта органа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государственной власти субъекта Российской Федерации, органа местного самоуправления, содержащего градостроительный регламент либо реквизиты акта федерального органа государственной власти, органа государственной власти субъекта Российской Федерации, орга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 местного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самоуправления, иной организации, определяющего, в соответствии с федеральными законами, порядок использования земельного участка, на который действие градостроительного регламента не распространяется или для которого градостроительный регламен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 не устанавливается</w:t>
      </w:r>
    </w:p>
    <w:p w:rsidR="0065007A" w:rsidRDefault="0065007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3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4"/>
      </w:tblGrid>
      <w:tr w:rsidR="0065007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Решение  Пименовской сельской  Думы от  24.12.2012 г. № 72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представительного органа местного самоуправления</w:t>
            </w:r>
            <w:r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  <w:t>,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«Об утверждении Правил землепользования и  застройки  Пименовского сельсовета Кетовского района  Курганской о</w:t>
            </w:r>
            <w:r>
              <w:rPr>
                <w:rFonts w:ascii="Times New Roman" w:eastAsia="Times New Roman" w:hAnsi="Times New Roman"/>
                <w:lang w:eastAsia="ru-RU"/>
              </w:rPr>
              <w:t>бласти»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акта об утверждении правил)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Решение  Пименовской сельской  Думы от  23.08.2016 г. № 53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представительного органа местного самоуправления</w:t>
            </w:r>
            <w:r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  <w:t>,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«О внесении изменений в Правила землепользования и  застройки муниципального </w:t>
            </w:r>
            <w:r>
              <w:rPr>
                <w:rFonts w:ascii="Times New Roman" w:eastAsia="Times New Roman" w:hAnsi="Times New Roman"/>
                <w:lang w:eastAsia="ru-RU"/>
              </w:rPr>
              <w:t>образования Пименовского сельсовета Кетовского района  Курганской области»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акта об утверждении правил)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Решение  Пименовской сельской  Думы от  24.07.2017 г. № 89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(наименование представительного органа местного самоуправления</w:t>
            </w:r>
            <w:r>
              <w:rPr>
                <w:rFonts w:ascii="Times New Roman" w:eastAsia="Times New Roman" w:hAnsi="Times New Roman"/>
                <w:sz w:val="20"/>
                <w:szCs w:val="14"/>
                <w:lang w:eastAsia="ru-RU"/>
              </w:rPr>
              <w:t>,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354" w:type="dxa"/>
            <w:tcBorders>
              <w:bottom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lang w:eastAsia="ru-RU"/>
              </w:rPr>
              <w:t>«О внесении изме</w:t>
            </w:r>
            <w:r>
              <w:rPr>
                <w:rFonts w:ascii="Times New Roman" w:eastAsia="Times New Roman" w:hAnsi="Times New Roman"/>
                <w:lang w:eastAsia="ru-RU"/>
              </w:rPr>
              <w:t>нений в Правила землепользования и  застройки муниципального образования Пименовского сельсовета Кетовского района  Курганской области»</w:t>
            </w:r>
          </w:p>
        </w:tc>
      </w:tr>
      <w:tr w:rsidR="0065007A">
        <w:tblPrEx>
          <w:tblCellMar>
            <w:top w:w="0" w:type="dxa"/>
            <w:bottom w:w="0" w:type="dxa"/>
          </w:tblCellMar>
        </w:tblPrEx>
        <w:tc>
          <w:tcPr>
            <w:tcW w:w="9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5007A" w:rsidRDefault="00DF1128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реквизиты акта об утверждении правил)</w:t>
            </w:r>
          </w:p>
        </w:tc>
      </w:tr>
    </w:tbl>
    <w:p w:rsidR="0065007A" w:rsidRDefault="0065007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7A" w:rsidRDefault="0065007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7A" w:rsidRDefault="0065007A">
      <w:pPr>
        <w:pStyle w:val="Standard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7A" w:rsidRDefault="00DF112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Начальник отдела</w:t>
      </w:r>
    </w:p>
    <w:p w:rsidR="0065007A" w:rsidRDefault="00DF1128">
      <w:pPr>
        <w:pStyle w:val="Standard"/>
        <w:spacing w:after="0" w:line="240" w:lineRule="auto"/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архитектуры и градостроительства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С.С. Влеско</w:t>
      </w:r>
    </w:p>
    <w:p w:rsidR="0065007A" w:rsidRDefault="0065007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7A" w:rsidRDefault="0065007A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007A" w:rsidRDefault="00DF1128">
      <w:pPr>
        <w:pStyle w:val="Standard"/>
        <w:tabs>
          <w:tab w:val="left" w:pos="4050"/>
        </w:tabs>
        <w:spacing w:after="0" w:line="36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>Белобородова О.С.</w:t>
      </w:r>
    </w:p>
    <w:p w:rsidR="0065007A" w:rsidRDefault="00DF1128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(35231)2-37-17</w:t>
      </w:r>
    </w:p>
    <w:sectPr w:rsidR="0065007A">
      <w:pgSz w:w="11906" w:h="16838"/>
      <w:pgMar w:top="993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128" w:rsidRDefault="00DF1128">
      <w:r>
        <w:separator/>
      </w:r>
    </w:p>
  </w:endnote>
  <w:endnote w:type="continuationSeparator" w:id="0">
    <w:p w:rsidR="00DF1128" w:rsidRDefault="00DF1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128" w:rsidRDefault="00DF1128">
      <w:r>
        <w:rPr>
          <w:color w:val="000000"/>
        </w:rPr>
        <w:separator/>
      </w:r>
    </w:p>
  </w:footnote>
  <w:footnote w:type="continuationSeparator" w:id="0">
    <w:p w:rsidR="00DF1128" w:rsidRDefault="00DF1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71667"/>
    <w:multiLevelType w:val="multilevel"/>
    <w:tmpl w:val="3F82AD68"/>
    <w:styleLink w:val="WWNum15"/>
    <w:lvl w:ilvl="0">
      <w:start w:val="1"/>
      <w:numFmt w:val="decimal"/>
      <w:lvlText w:val="%1)"/>
      <w:lvlJc w:val="left"/>
      <w:rPr>
        <w:rFonts w:eastAsia="Times New Roman" w:cs="Times New Roman"/>
        <w:spacing w:val="-17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5000DD6"/>
    <w:multiLevelType w:val="multilevel"/>
    <w:tmpl w:val="F0F23AEC"/>
    <w:styleLink w:val="WWNum1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12992B56"/>
    <w:multiLevelType w:val="multilevel"/>
    <w:tmpl w:val="9280AD2E"/>
    <w:styleLink w:val="WWNum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3">
    <w:nsid w:val="15785C06"/>
    <w:multiLevelType w:val="multilevel"/>
    <w:tmpl w:val="340285D2"/>
    <w:styleLink w:val="WWNum8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174D09D2"/>
    <w:multiLevelType w:val="multilevel"/>
    <w:tmpl w:val="C56C4806"/>
    <w:styleLink w:val="WWNum22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23535B35"/>
    <w:multiLevelType w:val="multilevel"/>
    <w:tmpl w:val="840E7506"/>
    <w:styleLink w:val="WWNum3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>
    <w:nsid w:val="236F2387"/>
    <w:multiLevelType w:val="multilevel"/>
    <w:tmpl w:val="3AFE6C5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7">
    <w:nsid w:val="2A717895"/>
    <w:multiLevelType w:val="multilevel"/>
    <w:tmpl w:val="6C86E3AA"/>
    <w:styleLink w:val="WWNum2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>
    <w:nsid w:val="2B4A7CA1"/>
    <w:multiLevelType w:val="multilevel"/>
    <w:tmpl w:val="19C037F4"/>
    <w:styleLink w:val="WWNum10"/>
    <w:lvl w:ilvl="0">
      <w:start w:val="1"/>
      <w:numFmt w:val="decimal"/>
      <w:lvlText w:val="%1"/>
      <w:lvlJc w:val="left"/>
      <w:rPr>
        <w:sz w:val="16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2CAA2B08"/>
    <w:multiLevelType w:val="multilevel"/>
    <w:tmpl w:val="0F8604C4"/>
    <w:styleLink w:val="WWNum21"/>
    <w:lvl w:ilvl="0">
      <w:numFmt w:val="bullet"/>
      <w:lvlText w:val=""/>
      <w:lvlJc w:val="left"/>
      <w:rPr>
        <w:rFonts w:eastAsia="Times New Roman"/>
        <w:w w:val="100"/>
        <w:sz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2D0B4BE1"/>
    <w:multiLevelType w:val="multilevel"/>
    <w:tmpl w:val="56B0F5DA"/>
    <w:styleLink w:val="WW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  <w:sz w:val="26"/>
        <w:szCs w:val="26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3119364B"/>
    <w:multiLevelType w:val="multilevel"/>
    <w:tmpl w:val="0FE8A56E"/>
    <w:styleLink w:val="WWNum13"/>
    <w:lvl w:ilvl="0">
      <w:numFmt w:val="bullet"/>
      <w:lvlText w:val="в"/>
      <w:lvlJc w:val="left"/>
    </w:lvl>
    <w:lvl w:ilvl="1">
      <w:start w:val="7"/>
      <w:numFmt w:val="decimal"/>
      <w:lvlText w:val="%2)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2">
    <w:nsid w:val="3A6869BA"/>
    <w:multiLevelType w:val="multilevel"/>
    <w:tmpl w:val="9402A476"/>
    <w:styleLink w:val="WWNum23"/>
    <w:lvl w:ilvl="0">
      <w:numFmt w:val="bullet"/>
      <w:lvlText w:val="-"/>
      <w:lvlJc w:val="left"/>
      <w:rPr>
        <w:rFonts w:eastAsia="Times New Roman" w:cs="Times New Roman"/>
        <w:spacing w:val="-6"/>
        <w:w w:val="100"/>
        <w:sz w:val="24"/>
      </w:rPr>
    </w:lvl>
    <w:lvl w:ilvl="1">
      <w:numFmt w:val="bullet"/>
      <w:lvlText w:val="-"/>
      <w:lvlJc w:val="left"/>
      <w:rPr>
        <w:rFonts w:eastAsia="Times New Roman" w:cs="Times New Roman"/>
        <w:spacing w:val="-1"/>
        <w:w w:val="100"/>
        <w:sz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4AD5150B"/>
    <w:multiLevelType w:val="multilevel"/>
    <w:tmpl w:val="0CB26CF2"/>
    <w:styleLink w:val="WWNum5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4">
    <w:nsid w:val="50F346AB"/>
    <w:multiLevelType w:val="multilevel"/>
    <w:tmpl w:val="A9D267A2"/>
    <w:styleLink w:val="WWNum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5">
    <w:nsid w:val="5CC66CFF"/>
    <w:multiLevelType w:val="multilevel"/>
    <w:tmpl w:val="8640A978"/>
    <w:styleLink w:val="WWNum17"/>
    <w:lvl w:ilvl="0">
      <w:numFmt w:val="bullet"/>
      <w:lvlText w:val="-"/>
      <w:lvlJc w:val="left"/>
      <w:rPr>
        <w:rFonts w:eastAsia="Times New Roman"/>
        <w:w w:val="99"/>
        <w:sz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>
    <w:nsid w:val="66CE2C9B"/>
    <w:multiLevelType w:val="multilevel"/>
    <w:tmpl w:val="C2D4F46C"/>
    <w:styleLink w:val="WWNum12"/>
    <w:lvl w:ilvl="0">
      <w:start w:val="1"/>
      <w:numFmt w:val="decimal"/>
      <w:lvlText w:val="%1)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7">
    <w:nsid w:val="66D833C5"/>
    <w:multiLevelType w:val="multilevel"/>
    <w:tmpl w:val="9E4C438E"/>
    <w:styleLink w:val="WWNum19"/>
    <w:lvl w:ilvl="0">
      <w:start w:val="1"/>
      <w:numFmt w:val="decimal"/>
      <w:lvlText w:val="%1)"/>
      <w:lvlJc w:val="left"/>
      <w:rPr>
        <w:rFonts w:eastAsia="Times New Roman" w:cs="Times New Roman"/>
        <w:spacing w:val="-4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8">
    <w:nsid w:val="697F6AEA"/>
    <w:multiLevelType w:val="multilevel"/>
    <w:tmpl w:val="D58604A6"/>
    <w:styleLink w:val="WWNum4"/>
    <w:lvl w:ilvl="0">
      <w:start w:val="4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9">
    <w:nsid w:val="6F9618DE"/>
    <w:multiLevelType w:val="multilevel"/>
    <w:tmpl w:val="5CE2D0E4"/>
    <w:styleLink w:val="WW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)"/>
      <w:lvlJc w:val="left"/>
    </w:lvl>
    <w:lvl w:ilvl="3">
      <w:start w:val="1"/>
      <w:numFmt w:val="decimal"/>
      <w:lvlText w:val="%1.%2.%3.%4."/>
      <w:lvlJc w:val="left"/>
      <w:rPr>
        <w:b w:val="0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0">
    <w:nsid w:val="702912B5"/>
    <w:multiLevelType w:val="multilevel"/>
    <w:tmpl w:val="A7D41D1A"/>
    <w:styleLink w:val="WWNum18"/>
    <w:lvl w:ilvl="0">
      <w:start w:val="1"/>
      <w:numFmt w:val="decimal"/>
      <w:lvlText w:val="%1)"/>
      <w:lvlJc w:val="left"/>
      <w:rPr>
        <w:rFonts w:eastAsia="Times New Roman" w:cs="Times New Roman"/>
        <w:spacing w:val="-8"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>
    <w:nsid w:val="71871FC4"/>
    <w:multiLevelType w:val="multilevel"/>
    <w:tmpl w:val="A8845628"/>
    <w:styleLink w:val="WWNum16"/>
    <w:lvl w:ilvl="0">
      <w:start w:val="1"/>
      <w:numFmt w:val="decimal"/>
      <w:lvlText w:val="%1."/>
      <w:lvlJc w:val="left"/>
      <w:rPr>
        <w:rFonts w:eastAsia="Times New Roman" w:cs="Times New Roman"/>
        <w:b/>
        <w:bCs/>
        <w:w w:val="10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2">
    <w:nsid w:val="747873C1"/>
    <w:multiLevelType w:val="multilevel"/>
    <w:tmpl w:val="FD425048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3">
    <w:nsid w:val="770C6AB1"/>
    <w:multiLevelType w:val="multilevel"/>
    <w:tmpl w:val="CF00EDCA"/>
    <w:styleLink w:val="WWNum14"/>
    <w:lvl w:ilvl="0">
      <w:start w:val="1"/>
      <w:numFmt w:val="decimal"/>
      <w:lvlText w:val="%1."/>
      <w:lvlJc w:val="left"/>
      <w:rPr>
        <w:rFonts w:eastAsia="Times New Roman" w:cs="Times New Roman"/>
        <w:spacing w:val="-5"/>
        <w:w w:val="100"/>
        <w:sz w:val="24"/>
        <w:szCs w:val="24"/>
      </w:rPr>
    </w:lvl>
    <w:lvl w:ilvl="1">
      <w:start w:val="1"/>
      <w:numFmt w:val="decimal"/>
      <w:lvlText w:val="%2)"/>
      <w:lvlJc w:val="left"/>
      <w:rPr>
        <w:rFonts w:eastAsia="Times New Roman" w:cs="Times New Roman"/>
        <w:spacing w:val="-8"/>
        <w:w w:val="99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4">
    <w:nsid w:val="78B642BD"/>
    <w:multiLevelType w:val="multilevel"/>
    <w:tmpl w:val="3F62EB1E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8"/>
  </w:num>
  <w:num w:numId="5">
    <w:abstractNumId w:val="13"/>
  </w:num>
  <w:num w:numId="6">
    <w:abstractNumId w:val="24"/>
  </w:num>
  <w:num w:numId="7">
    <w:abstractNumId w:val="14"/>
  </w:num>
  <w:num w:numId="8">
    <w:abstractNumId w:val="3"/>
  </w:num>
  <w:num w:numId="9">
    <w:abstractNumId w:val="10"/>
  </w:num>
  <w:num w:numId="10">
    <w:abstractNumId w:val="8"/>
  </w:num>
  <w:num w:numId="11">
    <w:abstractNumId w:val="1"/>
  </w:num>
  <w:num w:numId="12">
    <w:abstractNumId w:val="16"/>
  </w:num>
  <w:num w:numId="13">
    <w:abstractNumId w:val="11"/>
  </w:num>
  <w:num w:numId="14">
    <w:abstractNumId w:val="23"/>
  </w:num>
  <w:num w:numId="15">
    <w:abstractNumId w:val="0"/>
  </w:num>
  <w:num w:numId="16">
    <w:abstractNumId w:val="21"/>
  </w:num>
  <w:num w:numId="17">
    <w:abstractNumId w:val="15"/>
  </w:num>
  <w:num w:numId="18">
    <w:abstractNumId w:val="20"/>
  </w:num>
  <w:num w:numId="19">
    <w:abstractNumId w:val="17"/>
  </w:num>
  <w:num w:numId="20">
    <w:abstractNumId w:val="22"/>
  </w:num>
  <w:num w:numId="21">
    <w:abstractNumId w:val="9"/>
  </w:num>
  <w:num w:numId="22">
    <w:abstractNumId w:val="4"/>
  </w:num>
  <w:num w:numId="23">
    <w:abstractNumId w:val="12"/>
  </w:num>
  <w:num w:numId="24">
    <w:abstractNumId w:val="19"/>
  </w:num>
  <w:num w:numId="25">
    <w:abstractNumId w:val="7"/>
  </w:num>
  <w:num w:numId="26">
    <w:abstractNumId w:val="14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1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007A"/>
    <w:rsid w:val="0065007A"/>
    <w:rsid w:val="009C431B"/>
    <w:rsid w:val="00DF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spacing w:line="100" w:lineRule="atLeast"/>
    </w:pPr>
    <w:rPr>
      <w:rFonts w:cs="Calibri"/>
      <w:b/>
      <w:bCs/>
      <w:lang w:eastAsia="ar-SA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Standard"/>
    <w:next w:val="Textbody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List Paragraph"/>
    <w:basedOn w:val="Standard"/>
    <w:pPr>
      <w:ind w:left="720"/>
    </w:pPr>
  </w:style>
  <w:style w:type="paragraph" w:styleId="a6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Heading1">
    <w:name w:val="Heading #1"/>
    <w:basedOn w:val="Standard"/>
    <w:pPr>
      <w:widowControl w:val="0"/>
      <w:shd w:val="clear" w:color="auto" w:fill="FFFFFF"/>
      <w:spacing w:before="240" w:after="0" w:line="264" w:lineRule="exact"/>
      <w:outlineLvl w:val="0"/>
    </w:pPr>
    <w:rPr>
      <w:rFonts w:ascii="Arial" w:eastAsia="Arial" w:hAnsi="Arial" w:cs="Arial"/>
      <w:b/>
      <w:bCs/>
      <w:lang w:eastAsia="ru-RU"/>
    </w:rPr>
  </w:style>
  <w:style w:type="paragraph" w:customStyle="1" w:styleId="Bodytext3">
    <w:name w:val="Body text (3)"/>
    <w:basedOn w:val="Standard"/>
    <w:pPr>
      <w:widowControl w:val="0"/>
      <w:shd w:val="clear" w:color="auto" w:fill="FFFFFF"/>
      <w:spacing w:after="0" w:line="264" w:lineRule="exact"/>
    </w:pPr>
    <w:rPr>
      <w:rFonts w:ascii="Arial" w:eastAsia="Arial" w:hAnsi="Arial" w:cs="Arial"/>
      <w:b/>
      <w:bCs/>
      <w:lang w:eastAsia="ru-RU"/>
    </w:rPr>
  </w:style>
  <w:style w:type="paragraph" w:customStyle="1" w:styleId="Default">
    <w:name w:val="Default"/>
    <w:pPr>
      <w:widowControl/>
    </w:pPr>
    <w:rPr>
      <w:rFonts w:ascii="Times New Roman" w:hAnsi="Times New Roman"/>
      <w:color w:val="000000"/>
      <w:sz w:val="24"/>
      <w:szCs w:val="24"/>
    </w:rPr>
  </w:style>
  <w:style w:type="paragraph" w:customStyle="1" w:styleId="a7">
    <w:name w:val="Нормальный (таблица)"/>
    <w:basedOn w:val="Standard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pPr>
      <w:spacing w:line="100" w:lineRule="atLeast"/>
    </w:pPr>
    <w:rPr>
      <w:rFonts w:cs="Calibri"/>
      <w:b/>
      <w:bCs/>
      <w:lang w:eastAsia="ar-SA"/>
    </w:rPr>
  </w:style>
  <w:style w:type="character" w:customStyle="1" w:styleId="a8">
    <w:name w:val="Текст выноски Знак"/>
    <w:basedOn w:val="a0"/>
    <w:rPr>
      <w:rFonts w:ascii="Times New Roman" w:hAnsi="Times New Roman"/>
      <w:lang w:eastAsia="en-US"/>
    </w:rPr>
  </w:style>
  <w:style w:type="character" w:customStyle="1" w:styleId="Heading10">
    <w:name w:val="Heading #1_"/>
    <w:basedOn w:val="a0"/>
    <w:rPr>
      <w:rFonts w:ascii="Arial" w:eastAsia="Arial" w:hAnsi="Arial" w:cs="Arial"/>
      <w:b/>
      <w:bCs/>
    </w:rPr>
  </w:style>
  <w:style w:type="character" w:customStyle="1" w:styleId="Bodytext30">
    <w:name w:val="Body text (3)_"/>
    <w:basedOn w:val="a0"/>
    <w:rPr>
      <w:rFonts w:ascii="Arial" w:eastAsia="Arial" w:hAnsi="Arial" w:cs="Arial"/>
      <w:b/>
      <w:bCs/>
    </w:rPr>
  </w:style>
  <w:style w:type="character" w:customStyle="1" w:styleId="30">
    <w:name w:val="Заголовок 3 Знак"/>
    <w:basedOn w:val="a0"/>
    <w:rPr>
      <w:rFonts w:ascii="Cambria" w:eastAsia="Times New Roman" w:hAnsi="Cambria"/>
      <w:b/>
      <w:bCs/>
      <w:sz w:val="26"/>
      <w:szCs w:val="26"/>
      <w:lang w:val="en-GB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sz w:val="16"/>
      <w:szCs w:val="24"/>
    </w:rPr>
  </w:style>
  <w:style w:type="character" w:customStyle="1" w:styleId="ListLabel3">
    <w:name w:val="ListLabel 3"/>
    <w:rPr>
      <w:b w:val="0"/>
      <w:sz w:val="26"/>
      <w:szCs w:val="26"/>
    </w:rPr>
  </w:style>
  <w:style w:type="character" w:customStyle="1" w:styleId="ListLabel4">
    <w:name w:val="ListLabel 4"/>
    <w:rPr>
      <w:b w:val="0"/>
    </w:rPr>
  </w:style>
  <w:style w:type="character" w:customStyle="1" w:styleId="ListLabel5">
    <w:name w:val="ListLabel 5"/>
    <w:rPr>
      <w:rFonts w:eastAsia="Times New Roman" w:cs="Times New Roman"/>
      <w:spacing w:val="-5"/>
      <w:w w:val="100"/>
      <w:sz w:val="24"/>
      <w:szCs w:val="24"/>
    </w:rPr>
  </w:style>
  <w:style w:type="character" w:customStyle="1" w:styleId="ListLabel6">
    <w:name w:val="ListLabel 6"/>
    <w:rPr>
      <w:rFonts w:eastAsia="Times New Roman" w:cs="Times New Roman"/>
      <w:spacing w:val="-8"/>
      <w:w w:val="99"/>
      <w:sz w:val="24"/>
      <w:szCs w:val="24"/>
    </w:rPr>
  </w:style>
  <w:style w:type="character" w:customStyle="1" w:styleId="ListLabel7">
    <w:name w:val="ListLabel 7"/>
    <w:rPr>
      <w:rFonts w:eastAsia="Times New Roman" w:cs="Times New Roman"/>
      <w:spacing w:val="-17"/>
      <w:w w:val="100"/>
      <w:sz w:val="24"/>
      <w:szCs w:val="24"/>
    </w:rPr>
  </w:style>
  <w:style w:type="character" w:customStyle="1" w:styleId="ListLabel8">
    <w:name w:val="ListLabel 8"/>
    <w:rPr>
      <w:rFonts w:eastAsia="Times New Roman" w:cs="Times New Roman"/>
      <w:b/>
      <w:bCs/>
      <w:w w:val="100"/>
      <w:sz w:val="24"/>
      <w:szCs w:val="24"/>
    </w:rPr>
  </w:style>
  <w:style w:type="character" w:customStyle="1" w:styleId="ListLabel9">
    <w:name w:val="ListLabel 9"/>
    <w:rPr>
      <w:rFonts w:eastAsia="Times New Roman"/>
      <w:w w:val="99"/>
      <w:sz w:val="24"/>
    </w:rPr>
  </w:style>
  <w:style w:type="character" w:customStyle="1" w:styleId="ListLabel10">
    <w:name w:val="ListLabel 10"/>
    <w:rPr>
      <w:rFonts w:eastAsia="Times New Roman" w:cs="Times New Roman"/>
      <w:spacing w:val="-8"/>
      <w:w w:val="100"/>
      <w:sz w:val="24"/>
      <w:szCs w:val="24"/>
    </w:rPr>
  </w:style>
  <w:style w:type="character" w:customStyle="1" w:styleId="ListLabel11">
    <w:name w:val="ListLabel 11"/>
    <w:rPr>
      <w:rFonts w:eastAsia="Times New Roman" w:cs="Times New Roman"/>
      <w:spacing w:val="-4"/>
      <w:w w:val="100"/>
      <w:sz w:val="24"/>
      <w:szCs w:val="24"/>
    </w:rPr>
  </w:style>
  <w:style w:type="character" w:customStyle="1" w:styleId="ListLabel12">
    <w:name w:val="ListLabel 12"/>
    <w:rPr>
      <w:rFonts w:eastAsia="Times New Roman"/>
      <w:w w:val="100"/>
      <w:sz w:val="20"/>
    </w:rPr>
  </w:style>
  <w:style w:type="character" w:customStyle="1" w:styleId="ListLabel13">
    <w:name w:val="ListLabel 13"/>
    <w:rPr>
      <w:rFonts w:eastAsia="Times New Roman" w:cs="Times New Roman"/>
      <w:spacing w:val="-6"/>
      <w:w w:val="100"/>
      <w:sz w:val="24"/>
    </w:rPr>
  </w:style>
  <w:style w:type="character" w:customStyle="1" w:styleId="ListLabel14">
    <w:name w:val="ListLabel 14"/>
    <w:rPr>
      <w:rFonts w:eastAsia="Times New Roman" w:cs="Times New Roman"/>
      <w:spacing w:val="-1"/>
      <w:w w:val="100"/>
      <w:sz w:val="24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  <w:style w:type="numbering" w:customStyle="1" w:styleId="WWNum7">
    <w:name w:val="WWNum7"/>
    <w:basedOn w:val="a2"/>
    <w:pPr>
      <w:numPr>
        <w:numId w:val="7"/>
      </w:numPr>
    </w:pPr>
  </w:style>
  <w:style w:type="numbering" w:customStyle="1" w:styleId="WWNum8">
    <w:name w:val="WWNum8"/>
    <w:basedOn w:val="a2"/>
    <w:pPr>
      <w:numPr>
        <w:numId w:val="8"/>
      </w:numPr>
    </w:pPr>
  </w:style>
  <w:style w:type="numbering" w:customStyle="1" w:styleId="WWNum9">
    <w:name w:val="WWNum9"/>
    <w:basedOn w:val="a2"/>
    <w:pPr>
      <w:numPr>
        <w:numId w:val="9"/>
      </w:numPr>
    </w:pPr>
  </w:style>
  <w:style w:type="numbering" w:customStyle="1" w:styleId="WWNum10">
    <w:name w:val="WWNum10"/>
    <w:basedOn w:val="a2"/>
    <w:pPr>
      <w:numPr>
        <w:numId w:val="10"/>
      </w:numPr>
    </w:pPr>
  </w:style>
  <w:style w:type="numbering" w:customStyle="1" w:styleId="WWNum11">
    <w:name w:val="WWNum11"/>
    <w:basedOn w:val="a2"/>
    <w:pPr>
      <w:numPr>
        <w:numId w:val="11"/>
      </w:numPr>
    </w:pPr>
  </w:style>
  <w:style w:type="numbering" w:customStyle="1" w:styleId="WWNum12">
    <w:name w:val="WWNum12"/>
    <w:basedOn w:val="a2"/>
    <w:pPr>
      <w:numPr>
        <w:numId w:val="12"/>
      </w:numPr>
    </w:pPr>
  </w:style>
  <w:style w:type="numbering" w:customStyle="1" w:styleId="WWNum13">
    <w:name w:val="WWNum13"/>
    <w:basedOn w:val="a2"/>
    <w:pPr>
      <w:numPr>
        <w:numId w:val="13"/>
      </w:numPr>
    </w:pPr>
  </w:style>
  <w:style w:type="numbering" w:customStyle="1" w:styleId="WWNum14">
    <w:name w:val="WWNum14"/>
    <w:basedOn w:val="a2"/>
    <w:pPr>
      <w:numPr>
        <w:numId w:val="14"/>
      </w:numPr>
    </w:pPr>
  </w:style>
  <w:style w:type="numbering" w:customStyle="1" w:styleId="WWNum15">
    <w:name w:val="WWNum15"/>
    <w:basedOn w:val="a2"/>
    <w:pPr>
      <w:numPr>
        <w:numId w:val="15"/>
      </w:numPr>
    </w:pPr>
  </w:style>
  <w:style w:type="numbering" w:customStyle="1" w:styleId="WWNum16">
    <w:name w:val="WWNum16"/>
    <w:basedOn w:val="a2"/>
    <w:pPr>
      <w:numPr>
        <w:numId w:val="16"/>
      </w:numPr>
    </w:pPr>
  </w:style>
  <w:style w:type="numbering" w:customStyle="1" w:styleId="WWNum17">
    <w:name w:val="WWNum17"/>
    <w:basedOn w:val="a2"/>
    <w:pPr>
      <w:numPr>
        <w:numId w:val="17"/>
      </w:numPr>
    </w:pPr>
  </w:style>
  <w:style w:type="numbering" w:customStyle="1" w:styleId="WWNum18">
    <w:name w:val="WWNum18"/>
    <w:basedOn w:val="a2"/>
    <w:pPr>
      <w:numPr>
        <w:numId w:val="18"/>
      </w:numPr>
    </w:pPr>
  </w:style>
  <w:style w:type="numbering" w:customStyle="1" w:styleId="WWNum19">
    <w:name w:val="WWNum19"/>
    <w:basedOn w:val="a2"/>
    <w:pPr>
      <w:numPr>
        <w:numId w:val="19"/>
      </w:numPr>
    </w:pPr>
  </w:style>
  <w:style w:type="numbering" w:customStyle="1" w:styleId="WWNum20">
    <w:name w:val="WWNum20"/>
    <w:basedOn w:val="a2"/>
    <w:pPr>
      <w:numPr>
        <w:numId w:val="20"/>
      </w:numPr>
    </w:pPr>
  </w:style>
  <w:style w:type="numbering" w:customStyle="1" w:styleId="WWNum21">
    <w:name w:val="WWNum21"/>
    <w:basedOn w:val="a2"/>
    <w:pPr>
      <w:numPr>
        <w:numId w:val="21"/>
      </w:numPr>
    </w:pPr>
  </w:style>
  <w:style w:type="numbering" w:customStyle="1" w:styleId="WWNum22">
    <w:name w:val="WWNum22"/>
    <w:basedOn w:val="a2"/>
    <w:pPr>
      <w:numPr>
        <w:numId w:val="22"/>
      </w:numPr>
    </w:pPr>
  </w:style>
  <w:style w:type="numbering" w:customStyle="1" w:styleId="WWNum23">
    <w:name w:val="WWNum23"/>
    <w:basedOn w:val="a2"/>
    <w:pPr>
      <w:numPr>
        <w:numId w:val="23"/>
      </w:numPr>
    </w:pPr>
  </w:style>
  <w:style w:type="numbering" w:customStyle="1" w:styleId="WWNum24">
    <w:name w:val="WWNum24"/>
    <w:basedOn w:val="a2"/>
    <w:pPr>
      <w:numPr>
        <w:numId w:val="24"/>
      </w:numPr>
    </w:pPr>
  </w:style>
  <w:style w:type="numbering" w:customStyle="1" w:styleId="WWNum25">
    <w:name w:val="WWNum25"/>
    <w:basedOn w:val="a2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2515</Words>
  <Characters>14340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Курганская область</vt:lpstr>
    </vt:vector>
  </TitlesOfParts>
  <Company/>
  <LinksUpToDate>false</LinksUpToDate>
  <CharactersWithSpaces>16822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Курганская область</dc:title>
  <dc:creator>Admin</dc:creator>
  <cp:lastModifiedBy>555</cp:lastModifiedBy>
  <cp:revision>1</cp:revision>
  <cp:lastPrinted>2018-10-24T04:03:00Z</cp:lastPrinted>
  <dcterms:created xsi:type="dcterms:W3CDTF">2018-11-15T11:29:00Z</dcterms:created>
  <dcterms:modified xsi:type="dcterms:W3CDTF">2019-01-23T11:40:00Z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