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4" w:rsidRDefault="008D765D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39279" cy="6178680"/>
            <wp:effectExtent l="0" t="0" r="4321" b="0"/>
            <wp:wrapSquare wrapText="bothSides"/>
            <wp:docPr id="1" name="1. КГЗ_Н.Сидоровкаутвержде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279" cy="61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Приложение №3</w:t>
      </w:r>
    </w:p>
    <w:p w:rsidR="00C70774" w:rsidRDefault="008D765D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Информация о градостроительном регламенте либо 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устанавливается.</w:t>
      </w:r>
    </w:p>
    <w:p w:rsidR="00C70774" w:rsidRDefault="00C70774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C70774" w:rsidRDefault="008D765D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 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адостроительный регламент.  </w:t>
      </w:r>
    </w:p>
    <w:p w:rsidR="00C70774" w:rsidRDefault="008D765D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Ж3</w:t>
      </w:r>
    </w:p>
    <w:p w:rsidR="00C70774" w:rsidRDefault="00C70774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774" w:rsidRDefault="008D765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Из правил землепользования и застройки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Новосидоровского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сельсовета Кетовского района Курганской области:</w:t>
      </w:r>
    </w:p>
    <w:p w:rsidR="00C70774" w:rsidRDefault="00C7077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0774" w:rsidRDefault="008D765D">
      <w:pPr>
        <w:pStyle w:val="Standard"/>
        <w:keepNext/>
        <w:spacing w:before="160" w:after="160" w:line="240" w:lineRule="auto"/>
        <w:ind w:firstLine="709"/>
        <w:jc w:val="center"/>
        <w:outlineLvl w:val="3"/>
      </w:pPr>
      <w:r>
        <w:rPr>
          <w:rFonts w:ascii="Times New Roman" w:eastAsia="Lucida Sans Unicode" w:hAnsi="Times New Roman"/>
          <w:b/>
          <w:bCs/>
          <w:color w:val="000000"/>
          <w:sz w:val="24"/>
          <w:szCs w:val="26"/>
          <w:u w:val="single"/>
          <w:lang w:eastAsia="ru-RU"/>
        </w:rPr>
        <w:t>Ж-3. Зона многоквартирной секционной жилой застройки 2 – 5 этажей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Зона многоквартирной секционной жилой застройки 2 – 5 этажей – т</w:t>
      </w:r>
      <w:r>
        <w:rPr>
          <w:rFonts w:ascii="Times New Roman" w:hAnsi="Times New Roman"/>
          <w:sz w:val="24"/>
          <w:lang w:eastAsia="ru-RU"/>
        </w:rPr>
        <w:t>ерритории, застроенные или планируемые к застройке многоквартирными секционными жилыми домами не выше 5-и этажей</w:t>
      </w:r>
    </w:p>
    <w:p w:rsidR="00C70774" w:rsidRDefault="008D765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6"/>
          <w:szCs w:val="28"/>
        </w:rPr>
        <w:t>1. Основные виды разрешенного использования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4535"/>
        <w:gridCol w:w="2695"/>
      </w:tblGrid>
      <w:tr w:rsidR="00C707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разрешенного использования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Параметры разрешенного строительства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использования земельных участков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Среднеэтажная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жилая застройка</w:t>
            </w:r>
          </w:p>
          <w:p w:rsidR="00C70774" w:rsidRDefault="008D765D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(код 2.5)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Размещение жилых домов, предназначенных для разделения на ква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благоустройство и озеленение;</w:t>
            </w:r>
          </w:p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размещение подземных гаражей и автостоянок;</w:t>
            </w:r>
          </w:p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обустройство спортивных и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детских площадок, площадок отдыха;</w:t>
            </w:r>
          </w:p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3"/>
                <w:szCs w:val="23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</w:t>
            </w:r>
            <w:r>
              <w:rPr>
                <w:rFonts w:ascii="Times New Roman" w:hAnsi="Times New Roman"/>
                <w:sz w:val="23"/>
                <w:szCs w:val="23"/>
              </w:rPr>
              <w:t>щей площади помещений дома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Этажность дома – не выше 5 надземных этажей, в том </w:t>
            </w:r>
            <w:proofErr w:type="gramStart"/>
            <w:r>
              <w:rPr>
                <w:rFonts w:ascii="Times New Roman" w:hAnsi="Times New Roman"/>
                <w:sz w:val="24"/>
              </w:rPr>
              <w:t>числе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мансардный.</w:t>
            </w:r>
          </w:p>
          <w:p w:rsidR="00C70774" w:rsidRDefault="00C7077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(код 2.3)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блокированной застройки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Этажность дома </w:t>
            </w:r>
            <w:proofErr w:type="gramStart"/>
            <w:r>
              <w:rPr>
                <w:rFonts w:ascii="Times New Roman" w:hAnsi="Times New Roman"/>
                <w:sz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</w:rPr>
              <w:t>е выше 3-х надземных этажей, в том числе мансардный.</w:t>
            </w:r>
          </w:p>
          <w:p w:rsidR="00C70774" w:rsidRDefault="008D765D">
            <w:pPr>
              <w:pStyle w:val="Standard"/>
              <w:shd w:val="clear" w:color="auto" w:fill="FFFFFF"/>
              <w:tabs>
                <w:tab w:val="left" w:pos="427"/>
              </w:tabs>
              <w:spacing w:after="0" w:line="240" w:lineRule="auto"/>
              <w:ind w:left="33" w:hanging="1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совме</w:t>
            </w:r>
            <w:proofErr w:type="spellEnd"/>
            <w:r>
              <w:rPr>
                <w:rFonts w:ascii="Times New Roman" w:hAnsi="Times New Roman"/>
                <w:sz w:val="24"/>
              </w:rPr>
              <w:t>-щенных домов не более десяти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ругие параметры в таблице 57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капитального строительства, размещение которых предусмотрено видами разрешенного использования с </w:t>
            </w:r>
            <w:hyperlink r:id="rId9" w:history="1">
              <w:r>
                <w:t>кодами 3.1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(коммунальное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обслу-живание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hyperlink r:id="rId10" w:history="1">
              <w:r>
                <w:t>3.4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(здравоохранение), </w:t>
            </w:r>
            <w:hyperlink r:id="rId11" w:history="1">
              <w:r>
                <w:t>3.4.1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(амбулаторно-поликлиническое обслужи-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hyperlink r:id="rId12" w:history="1">
              <w:r>
                <w:t>3.10.1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ветери-нарное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обслуживание), </w:t>
            </w:r>
            <w:hyperlink r:id="rId13" w:history="1">
              <w:r>
                <w:t>4.7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(гостиничное обслуживание),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Таблица 57, 58</w:t>
            </w:r>
          </w:p>
        </w:tc>
      </w:tr>
    </w:tbl>
    <w:p w:rsidR="00C70774" w:rsidRDefault="008D765D">
      <w:pPr>
        <w:pStyle w:val="Standard"/>
      </w:pPr>
      <w:r>
        <w:rPr>
          <w:rFonts w:ascii="Times New Roman" w:eastAsia="Times New Roman" w:hAnsi="Times New Roman"/>
          <w:bCs/>
          <w:sz w:val="26"/>
          <w:szCs w:val="28"/>
        </w:rPr>
        <w:t>2. Вспомогательные виды разрешенного использования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4535"/>
        <w:gridCol w:w="2695"/>
      </w:tblGrid>
      <w:tr w:rsidR="00C707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Виды разрешенного использования земельных участков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line="220" w:lineRule="exact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Default"/>
              <w:jc w:val="center"/>
            </w:pPr>
            <w:r>
              <w:rPr>
                <w:b/>
                <w:bCs/>
                <w:color w:val="00000A"/>
              </w:rPr>
              <w:t>Параметры разрешенного строительства и использования земельных участков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a7"/>
              <w:jc w:val="left"/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Среднеэтажная</w:t>
            </w:r>
            <w:proofErr w:type="spellEnd"/>
            <w:r>
              <w:rPr>
                <w:rFonts w:eastAsia="Calibri"/>
                <w:lang w:eastAsia="en-US"/>
              </w:rPr>
              <w:t xml:space="preserve"> жилая застройка</w:t>
            </w:r>
          </w:p>
          <w:p w:rsidR="00C70774" w:rsidRDefault="008D765D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(код 2.5)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a7"/>
            </w:pPr>
            <w:r>
              <w:t>Объекты обслуживания жилой застройки во встроенных, пристроенных и встроенно-пристроенных помещениях малоэтажного многоквартирного дома</w:t>
            </w:r>
          </w:p>
        </w:tc>
        <w:tc>
          <w:tcPr>
            <w:tcW w:w="2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a7"/>
            </w:pPr>
            <w:r>
              <w:rPr>
                <w:rFonts w:eastAsia="Calibri"/>
                <w:lang w:eastAsia="en-US"/>
              </w:rPr>
              <w:t xml:space="preserve">Общая </w:t>
            </w:r>
            <w:r>
              <w:rPr>
                <w:rFonts w:eastAsia="Calibri"/>
                <w:lang w:eastAsia="en-US"/>
              </w:rPr>
              <w:t xml:space="preserve">площадь объектов обслуживания не может превышать 15% общей площади помещений жилого дома. </w:t>
            </w:r>
            <w:r>
              <w:t>Предельные параметры в таблице 57,58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D765D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a7"/>
            </w:pPr>
            <w:r>
              <w:t>Иные вспомогательные сооружения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D765D"/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Блокированная жилая застройка</w:t>
            </w:r>
          </w:p>
          <w:p w:rsidR="00C70774" w:rsidRDefault="008D765D">
            <w:pPr>
              <w:pStyle w:val="a7"/>
              <w:jc w:val="left"/>
            </w:pPr>
            <w:r>
              <w:rPr>
                <w:rFonts w:eastAsia="Calibri"/>
                <w:lang w:eastAsia="en-US"/>
              </w:rPr>
              <w:t>(код 2.3)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</w:pPr>
            <w:r>
              <w:rPr>
                <w:rFonts w:ascii="Times New Roman" w:eastAsia="Lucida Sans Unicode" w:hAnsi="Times New Roman"/>
                <w:szCs w:val="24"/>
                <w:lang w:eastAsia="ru-RU"/>
              </w:rPr>
              <w:t>Индивидуальный гараж</w:t>
            </w:r>
          </w:p>
        </w:tc>
        <w:tc>
          <w:tcPr>
            <w:tcW w:w="2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hd w:val="clear" w:color="auto" w:fill="FFFFFF"/>
              <w:tabs>
                <w:tab w:val="left" w:pos="428"/>
              </w:tabs>
              <w:ind w:left="34"/>
            </w:pPr>
            <w:r>
              <w:rPr>
                <w:rFonts w:ascii="Times New Roman" w:hAnsi="Times New Roman"/>
              </w:rPr>
              <w:t xml:space="preserve">Водоотвод с крыш объектов </w:t>
            </w:r>
            <w:r>
              <w:rPr>
                <w:rFonts w:ascii="Times New Roman" w:hAnsi="Times New Roman"/>
              </w:rPr>
              <w:t>должен осуществляться на земельный участок собственника. Предельные параметры в таблице 58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D765D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</w:pPr>
            <w:r>
              <w:rPr>
                <w:rFonts w:ascii="Times New Roman" w:eastAsia="Lucida Sans Unicode" w:hAnsi="Times New Roman"/>
                <w:szCs w:val="24"/>
                <w:lang w:eastAsia="ru-RU"/>
              </w:rPr>
              <w:t>Иные вспомогательные сооружения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D765D"/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D765D"/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</w:pPr>
            <w:r>
              <w:rPr>
                <w:rFonts w:ascii="Times New Roman" w:hAnsi="Times New Roman"/>
                <w:szCs w:val="24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2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D765D"/>
        </w:tc>
      </w:tr>
    </w:tbl>
    <w:p w:rsidR="00C70774" w:rsidRDefault="00C70774">
      <w:pPr>
        <w:pStyle w:val="Standard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70774" w:rsidRDefault="008D765D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640" cy="6179040"/>
            <wp:effectExtent l="0" t="0" r="396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640" cy="617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0774" w:rsidRDefault="008D765D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C70774" w:rsidRDefault="00C70774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C70774" w:rsidRDefault="008D765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6"/>
          <w:szCs w:val="28"/>
        </w:rPr>
        <w:t xml:space="preserve">3. Условно </w:t>
      </w:r>
      <w:r>
        <w:rPr>
          <w:rFonts w:ascii="Times New Roman" w:eastAsia="Times New Roman" w:hAnsi="Times New Roman"/>
          <w:bCs/>
          <w:sz w:val="26"/>
          <w:szCs w:val="28"/>
        </w:rPr>
        <w:t>разрешенные виды использования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4535"/>
        <w:gridCol w:w="2695"/>
      </w:tblGrid>
      <w:tr w:rsidR="00C707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20" w:lineRule="exact"/>
              <w:jc w:val="center"/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гаражного назначения (код </w:t>
            </w:r>
            <w:r>
              <w:rPr>
                <w:rFonts w:ascii="Times New Roman" w:hAnsi="Times New Roman"/>
                <w:sz w:val="24"/>
                <w:szCs w:val="24"/>
              </w:rPr>
              <w:t>2.7.1)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>Предельные параметры в таблице 58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Магазины (код 4.4)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капитального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предназначенные для продажи товаров, торговая площадь которых составляет до 5000 кв. м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hd w:val="clear" w:color="auto" w:fill="FFFFFF"/>
              <w:tabs>
                <w:tab w:val="left" w:pos="428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>Предельные параметры в таблицах 57, 58</w:t>
            </w:r>
          </w:p>
        </w:tc>
      </w:tr>
    </w:tbl>
    <w:p w:rsidR="00C70774" w:rsidRDefault="008D765D">
      <w:pPr>
        <w:pStyle w:val="Standard"/>
        <w:keepNext/>
        <w:spacing w:before="120" w:after="120" w:line="240" w:lineRule="auto"/>
        <w:ind w:firstLine="709"/>
        <w:jc w:val="both"/>
        <w:outlineLvl w:val="4"/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u w:val="single"/>
          <w:lang w:eastAsia="ru-RU"/>
        </w:rPr>
        <w:t xml:space="preserve">Параметры основных и вспомогательных и условно разрешённых видов разрешенного использования и строительства (см.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u w:val="single"/>
          <w:lang w:eastAsia="ru-RU"/>
        </w:rPr>
        <w:t>табл. 57,58):</w:t>
      </w:r>
    </w:p>
    <w:p w:rsidR="00C70774" w:rsidRDefault="008D765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>
        <w:rPr>
          <w:rFonts w:ascii="Times New Roman" w:hAnsi="Times New Roman"/>
          <w:bCs/>
          <w:iCs/>
          <w:sz w:val="24"/>
        </w:rPr>
        <w:t>СП 42.13330.2011. «Свод правил. Градостроительство. Планировка и застройка городских и сельских поселений. (Актуализированная редакция</w:t>
      </w:r>
      <w:r>
        <w:rPr>
          <w:rFonts w:ascii="Times New Roman" w:hAnsi="Times New Roman"/>
          <w:bCs/>
          <w:iCs/>
          <w:sz w:val="24"/>
        </w:rPr>
        <w:t xml:space="preserve"> СНиП 2.07.01-89*)»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СП 35-105-2002 «Свод правил Реконструкция городской застройки с учётом доступности для инвалидов и других мало мобильных групп населения», </w:t>
      </w:r>
      <w:r>
        <w:rPr>
          <w:rFonts w:ascii="Times New Roman" w:hAnsi="Times New Roman"/>
          <w:color w:val="000000"/>
          <w:sz w:val="24"/>
          <w:szCs w:val="24"/>
        </w:rPr>
        <w:t xml:space="preserve">СП 35-102-2001 «Свод правил Жилая среда с планировочными элементами доступными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инвалидам»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31-107-2004Свод правил Архитектурно-планировочные решения многоквартирных жилых зданий, </w:t>
      </w:r>
      <w:r>
        <w:rPr>
          <w:rFonts w:ascii="Times New Roman" w:hAnsi="Times New Roman"/>
          <w:color w:val="000000"/>
          <w:sz w:val="24"/>
          <w:szCs w:val="24"/>
        </w:rPr>
        <w:t xml:space="preserve">СП 31-102-99 Свод правил Требования доступности общественных зданий и сооружений для инвалидов и других мало мобильных групп посетителей, </w:t>
      </w:r>
      <w:r>
        <w:rPr>
          <w:rFonts w:ascii="Times New Roman" w:hAnsi="Times New Roman"/>
          <w:sz w:val="24"/>
          <w:szCs w:val="24"/>
        </w:rPr>
        <w:t>СанПиН 2.2.1/2.1.1.1200-03 «Са</w:t>
      </w:r>
      <w:r>
        <w:rPr>
          <w:rFonts w:ascii="Times New Roman" w:hAnsi="Times New Roman"/>
          <w:sz w:val="24"/>
          <w:szCs w:val="24"/>
        </w:rPr>
        <w:t>нитарно-защитные зоны и санитарная классификация предприятий, сооружений и иных объектов», технических регламентов, в том числе Технического регламента пожарной безопасности (от 22 июля 2008 г. № 123-ФЗ), региональных нормативов градостроительного проектир</w:t>
      </w:r>
      <w:r>
        <w:rPr>
          <w:rFonts w:ascii="Times New Roman" w:hAnsi="Times New Roman"/>
          <w:sz w:val="24"/>
          <w:szCs w:val="24"/>
        </w:rPr>
        <w:t>ования Курганской области.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Размеры земельных участков, предоставляемых для многоквартирных жилых домов, определяются документацией по планировке территории и в соответствии с требованиями настоящих нормативов, при этом м</w:t>
      </w:r>
      <w:r>
        <w:rPr>
          <w:rFonts w:ascii="Times New Roman" w:hAnsi="Times New Roman"/>
          <w:sz w:val="24"/>
          <w:szCs w:val="24"/>
        </w:rPr>
        <w:t>инимальная площадь земельного уча</w:t>
      </w:r>
      <w:r>
        <w:rPr>
          <w:rFonts w:ascii="Times New Roman" w:hAnsi="Times New Roman"/>
          <w:sz w:val="24"/>
          <w:szCs w:val="24"/>
        </w:rPr>
        <w:t>стка на одну квартиру жилого многоквартирного дома принимается не менее 30 кв. м.; максимальная – не более 1,5 га.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 Расчёт площади нормируемых элементов дворовой территории осуществляется в соответствии с нормами, приведенными в таблице 10 </w:t>
      </w:r>
      <w:r>
        <w:rPr>
          <w:rFonts w:ascii="Times New Roman" w:hAnsi="Times New Roman"/>
          <w:sz w:val="24"/>
          <w:szCs w:val="24"/>
        </w:rPr>
        <w:t>региональных н</w:t>
      </w:r>
      <w:r>
        <w:rPr>
          <w:rFonts w:ascii="Times New Roman" w:hAnsi="Times New Roman"/>
          <w:sz w:val="24"/>
          <w:szCs w:val="24"/>
        </w:rPr>
        <w:t>ормативов градостроительного проектирования Курганской области.</w:t>
      </w:r>
    </w:p>
    <w:p w:rsidR="00C70774" w:rsidRDefault="008D765D">
      <w:pPr>
        <w:pStyle w:val="Standard"/>
        <w:shd w:val="clear" w:color="auto" w:fill="FFFFFF"/>
        <w:tabs>
          <w:tab w:val="left" w:pos="1042"/>
        </w:tabs>
        <w:spacing w:after="0" w:line="24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-2"/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</w:t>
      </w:r>
    </w:p>
    <w:p w:rsidR="00C70774" w:rsidRDefault="008D765D">
      <w:pPr>
        <w:pStyle w:val="Standard"/>
        <w:shd w:val="clear" w:color="auto" w:fill="FFFFFF"/>
        <w:spacing w:after="0" w:line="274" w:lineRule="exact"/>
        <w:ind w:left="5" w:firstLine="538"/>
        <w:jc w:val="both"/>
      </w:pPr>
      <w:r>
        <w:rPr>
          <w:rFonts w:ascii="Times New Roman" w:hAnsi="Times New Roman"/>
          <w:sz w:val="24"/>
          <w:szCs w:val="24"/>
        </w:rPr>
        <w:t>Расстояние от края основной проезжей части улиц, местных или боковых проездов до лини</w:t>
      </w:r>
      <w:r>
        <w:rPr>
          <w:rFonts w:ascii="Times New Roman" w:hAnsi="Times New Roman"/>
          <w:sz w:val="24"/>
          <w:szCs w:val="24"/>
        </w:rPr>
        <w:t>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</w:rPr>
        <w:t>По красной линии допускается размещать ж</w:t>
      </w:r>
      <w:r>
        <w:rPr>
          <w:rFonts w:ascii="Times New Roman" w:hAnsi="Times New Roman"/>
          <w:sz w:val="24"/>
        </w:rPr>
        <w:t>илые здания со встроенными в первые этажи или пристроенными помещениями общественного назначения, кроме учреждений образования и воспитания, а на жилых улицах в условиях реконструкции сложившейся застройки – жилые здания с квартирами в первых этажах.</w:t>
      </w:r>
      <w:proofErr w:type="gramEnd"/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Запрещается размещение жилых помещений в цокольных и подвальных этажах.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lastRenderedPageBreak/>
        <w:t>5. Размещение встроенно-пристроенных нежилых объектов допускается при условии выполнения норм пожарной безопасности в соответствии с требованиями Технического регламента пожарной безоп</w:t>
      </w:r>
      <w:r>
        <w:rPr>
          <w:rFonts w:ascii="Times New Roman" w:hAnsi="Times New Roman"/>
          <w:sz w:val="24"/>
        </w:rPr>
        <w:t xml:space="preserve">асности (от 22 июля 2008 г. № 123-ФЗ), СП 31-107-2004, </w:t>
      </w:r>
      <w:r>
        <w:rPr>
          <w:rFonts w:ascii="Times New Roman" w:hAnsi="Times New Roman"/>
          <w:color w:val="000000"/>
          <w:sz w:val="24"/>
        </w:rPr>
        <w:t>СП 31-102-99,</w:t>
      </w:r>
      <w:r>
        <w:rPr>
          <w:rFonts w:ascii="Times New Roman" w:hAnsi="Times New Roman"/>
          <w:sz w:val="24"/>
        </w:rPr>
        <w:t>СНиП 21-02-99*, ППБ 01-03, в том числе: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- обособленные от жилой территории входы для посетителей;</w:t>
      </w:r>
    </w:p>
    <w:p w:rsidR="00C70774" w:rsidRDefault="008D765D">
      <w:pPr>
        <w:pStyle w:val="Standard"/>
        <w:widowControl w:val="0"/>
        <w:spacing w:after="0" w:line="235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обособленные подъезды и площадки для парковки автомобилей, обслуживающих встроенный объе</w:t>
      </w:r>
      <w:r>
        <w:rPr>
          <w:rFonts w:ascii="Times New Roman" w:hAnsi="Times New Roman"/>
          <w:sz w:val="24"/>
          <w:szCs w:val="24"/>
        </w:rPr>
        <w:t>кт;</w:t>
      </w:r>
    </w:p>
    <w:p w:rsidR="00C70774" w:rsidRDefault="008D765D">
      <w:pPr>
        <w:pStyle w:val="Standard"/>
        <w:widowControl w:val="0"/>
        <w:spacing w:after="0" w:line="235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самостоятельные шахты для вентиляции;</w:t>
      </w:r>
    </w:p>
    <w:p w:rsidR="00C70774" w:rsidRDefault="008D765D">
      <w:pPr>
        <w:pStyle w:val="Standard"/>
        <w:widowControl w:val="0"/>
        <w:shd w:val="clear" w:color="auto" w:fill="FFFFFF"/>
        <w:spacing w:after="0" w:line="235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отделение нежилых помещений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жилых противопожарными, звукоизолирующими перекрытиями и перегородками.</w:t>
      </w:r>
    </w:p>
    <w:p w:rsidR="00C70774" w:rsidRDefault="008D765D">
      <w:pPr>
        <w:pStyle w:val="Standard"/>
        <w:widowControl w:val="0"/>
        <w:shd w:val="clear" w:color="auto" w:fill="FFFFFF"/>
        <w:spacing w:after="0" w:line="235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Доля нежилого фонда в общем объеме фонда на участке жилой застройки не должна превышать 20 %.</w:t>
      </w:r>
    </w:p>
    <w:p w:rsidR="00C70774" w:rsidRDefault="008D765D">
      <w:pPr>
        <w:pStyle w:val="Standard"/>
        <w:widowControl w:val="0"/>
        <w:shd w:val="clear" w:color="auto" w:fill="FFFFFF"/>
        <w:spacing w:after="0" w:line="235" w:lineRule="auto"/>
        <w:ind w:right="17" w:firstLine="697"/>
        <w:jc w:val="both"/>
      </w:pPr>
      <w:r>
        <w:rPr>
          <w:rFonts w:ascii="Times New Roman" w:hAnsi="Times New Roman"/>
          <w:bCs/>
          <w:iCs/>
          <w:sz w:val="24"/>
          <w:szCs w:val="24"/>
        </w:rPr>
        <w:t>В жилых здани</w:t>
      </w:r>
      <w:r>
        <w:rPr>
          <w:rFonts w:ascii="Times New Roman" w:hAnsi="Times New Roman"/>
          <w:bCs/>
          <w:iCs/>
          <w:sz w:val="24"/>
          <w:szCs w:val="24"/>
        </w:rPr>
        <w:t xml:space="preserve">ях не допускается размещение объектов, оказывающих вредное воздействие на человека, в соответствии с требованиями </w:t>
      </w:r>
      <w:r>
        <w:rPr>
          <w:rFonts w:ascii="Times New Roman" w:hAnsi="Times New Roman"/>
          <w:sz w:val="24"/>
          <w:szCs w:val="24"/>
        </w:rPr>
        <w:t>СанПиН 2.2.1/2.1.1.1200-03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C70774" w:rsidRDefault="008D765D">
      <w:pPr>
        <w:pStyle w:val="Standard"/>
        <w:widowControl w:val="0"/>
        <w:shd w:val="clear" w:color="auto" w:fill="FFFFFF"/>
        <w:spacing w:after="0" w:line="235" w:lineRule="auto"/>
        <w:ind w:right="17" w:firstLine="697"/>
        <w:jc w:val="both"/>
      </w:pPr>
      <w:r>
        <w:rPr>
          <w:rFonts w:ascii="Times New Roman" w:hAnsi="Times New Roman"/>
          <w:bCs/>
          <w:iCs/>
          <w:sz w:val="24"/>
          <w:szCs w:val="24"/>
        </w:rPr>
        <w:t>6. Минимально допустимые расстояния</w:t>
      </w:r>
      <w:r>
        <w:rPr>
          <w:rFonts w:ascii="Times New Roman" w:hAnsi="Times New Roman"/>
          <w:sz w:val="24"/>
          <w:szCs w:val="24"/>
        </w:rPr>
        <w:t xml:space="preserve"> (бытовые разрывы) между длинными сторонами секционных жилых зданий высотой 2-3</w:t>
      </w:r>
      <w:r>
        <w:rPr>
          <w:rFonts w:ascii="Times New Roman" w:hAnsi="Times New Roman"/>
          <w:sz w:val="24"/>
          <w:szCs w:val="24"/>
        </w:rPr>
        <w:t xml:space="preserve"> этажа должны быть не менее 15 м, а высотой 4 этажа – не менее 20 м, между длинными сторонами и торцами этих же зданий с окнами из жилых комнат – не менее 10 м.</w:t>
      </w:r>
    </w:p>
    <w:p w:rsidR="00C70774" w:rsidRDefault="008D765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</w:rPr>
        <w:t>Минимально допустимые расстояния</w:t>
      </w:r>
      <w:r>
        <w:rPr>
          <w:rFonts w:ascii="Times New Roman" w:hAnsi="Times New Roman"/>
          <w:sz w:val="24"/>
          <w:szCs w:val="24"/>
        </w:rPr>
        <w:t xml:space="preserve"> от окон жилых и общественных зданий до площадок следует прин</w:t>
      </w:r>
      <w:r>
        <w:rPr>
          <w:rFonts w:ascii="Times New Roman" w:hAnsi="Times New Roman"/>
          <w:sz w:val="24"/>
          <w:szCs w:val="24"/>
        </w:rPr>
        <w:t>имать:</w:t>
      </w:r>
    </w:p>
    <w:tbl>
      <w:tblPr>
        <w:tblW w:w="10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5013"/>
      </w:tblGrid>
      <w:tr w:rsidR="00C707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Назначение площадок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Расстояние от окон жилых и общественных</w:t>
            </w:r>
          </w:p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зданий,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, не менее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занятий физкультурой (в зависимости от шумовых характеристик *)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стоянки автомобилей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таблице 89 настоящих нормативов</w:t>
            </w:r>
          </w:p>
        </w:tc>
      </w:tr>
    </w:tbl>
    <w:p w:rsidR="00C70774" w:rsidRDefault="008D765D">
      <w:pPr>
        <w:pStyle w:val="Standard"/>
        <w:widowControl w:val="0"/>
        <w:spacing w:before="120"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C70774" w:rsidRDefault="008D765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площадок для сушки белья не нормируются.</w:t>
      </w:r>
    </w:p>
    <w:p w:rsidR="00C70774" w:rsidRDefault="008D765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Расстояния от площадок для мусоросборников до физкультурных площадок, площадок для игр детей и отдыха взрослых следует принимать не менее 20 м.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Расстояния от площадок для хозяйственных целей до наиболее удаленного в</w:t>
      </w:r>
      <w:r>
        <w:rPr>
          <w:rFonts w:ascii="Times New Roman" w:hAnsi="Times New Roman"/>
          <w:sz w:val="24"/>
        </w:rPr>
        <w:t>хода в жилое здание – не более 100 м для домов с мусоропроводами и 50 м для домов без мусоропроводов.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sz w:val="24"/>
          <w:szCs w:val="24"/>
        </w:rPr>
        <w:t>Минимальные площади нормируемых элементов дворовой территории многоквартирного жилого дома принимаются в соответствии с нормами, приведенными в таблице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8"/>
        <w:gridCol w:w="3882"/>
      </w:tblGrid>
      <w:tr w:rsidR="00C7077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Удельные размеры площадок,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жителя дома).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временной стоянки </w:t>
            </w:r>
            <w:r>
              <w:rPr>
                <w:rFonts w:ascii="Times New Roman" w:hAnsi="Times New Roman"/>
                <w:sz w:val="24"/>
                <w:szCs w:val="24"/>
              </w:rPr>
              <w:t>(парковки) автотранспорта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дворового озеленения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774" w:rsidRDefault="008D765D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lang w:eastAsia="ru-RU"/>
        </w:rPr>
        <w:t>При этом площадь озелененной территории участка многоквартирной застройки жилой зоны должна составлять не менее 25 % площади территории участка.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lastRenderedPageBreak/>
        <w:t xml:space="preserve">7. Предприятия обслуживания размещаются в первых </w:t>
      </w:r>
      <w:r>
        <w:rPr>
          <w:rFonts w:ascii="Times New Roman" w:hAnsi="Times New Roman"/>
          <w:sz w:val="24"/>
        </w:rPr>
        <w:t>этажах жилых многоквартирных домов, выходящих на улицу, или пристраиваются к ним при условиях, что входы для посетителей предприятий обслуживания размещаются со стороны улицы и мест временного хранения автомашин достаточно.</w:t>
      </w:r>
    </w:p>
    <w:p w:rsidR="00C70774" w:rsidRDefault="008D765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8. Минимальные площади земельны</w:t>
      </w:r>
      <w:r>
        <w:rPr>
          <w:rFonts w:ascii="Times New Roman" w:hAnsi="Times New Roman"/>
          <w:sz w:val="24"/>
        </w:rPr>
        <w:t xml:space="preserve">х участков объектов общественной застройки, обслуживающих зданий и сооружений определяются на основе норм </w:t>
      </w:r>
      <w:r>
        <w:rPr>
          <w:rFonts w:ascii="Times New Roman" w:hAnsi="Times New Roman"/>
          <w:bCs/>
          <w:iCs/>
          <w:sz w:val="24"/>
        </w:rPr>
        <w:t>СП 42.13330.2011. «Свод правил. Градостроительство. Планировка и застройка городских и сельских поселений. (Актуализированная редакция СНиП 2.07.01-89</w:t>
      </w:r>
      <w:r>
        <w:rPr>
          <w:rFonts w:ascii="Times New Roman" w:hAnsi="Times New Roman"/>
          <w:bCs/>
          <w:iCs/>
          <w:sz w:val="24"/>
        </w:rPr>
        <w:t>*)»</w:t>
      </w:r>
      <w:r>
        <w:rPr>
          <w:rFonts w:ascii="Times New Roman" w:hAnsi="Times New Roman"/>
          <w:sz w:val="24"/>
        </w:rPr>
        <w:t>, "СНиП 31-06-2009. Общественные здания и сооружения", СП 30-102-99 "Планировка и застройка территорий малоэтажного строительства", региональных нормативов градостроительного проектирования Курганской области.</w:t>
      </w:r>
    </w:p>
    <w:p w:rsidR="00C70774" w:rsidRDefault="008D765D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proofErr w:type="spellStart"/>
      <w:r>
        <w:rPr>
          <w:rFonts w:ascii="Times New Roman" w:eastAsia="Times New Roman" w:hAnsi="Times New Roman"/>
          <w:sz w:val="24"/>
          <w:szCs w:val="24"/>
          <w:lang w:val="en-GB" w:eastAsia="ru-RU"/>
        </w:rPr>
        <w:t>Таблица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C70774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Кодовое обозначение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территориальных зон и видов разрешенного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D765D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D765D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C707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D765D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D765D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Минимальные отступы от границ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-х участков в целях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определе-ния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0774" w:rsidRDefault="008D765D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C7077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a7"/>
              <w:ind w:left="28" w:right="28"/>
              <w:jc w:val="center"/>
            </w:pPr>
            <w:r>
              <w:rPr>
                <w:b/>
                <w:sz w:val="16"/>
                <w:szCs w:val="16"/>
              </w:rPr>
              <w:t>Ж-3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15; 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774" w:rsidRDefault="008D765D">
            <w:pPr>
              <w:pStyle w:val="Standard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70774" w:rsidRDefault="008D765D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C70774" w:rsidRDefault="008D765D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учета эксплуатируемой кровли подземных, подвальных, цокольных частей объектов</w:t>
      </w:r>
    </w:p>
    <w:p w:rsidR="00C70774" w:rsidRDefault="008D765D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НПУ-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не</w:t>
      </w:r>
      <w:proofErr w:type="spellEnd"/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подлежат</w:t>
      </w:r>
      <w:proofErr w:type="spellEnd"/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GB" w:eastAsia="ru-RU"/>
        </w:rPr>
        <w:t>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  <w:proofErr w:type="spellEnd"/>
    </w:p>
    <w:p w:rsidR="00C70774" w:rsidRDefault="00C7077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0774" w:rsidRDefault="008D765D">
      <w:pPr>
        <w:pStyle w:val="Standard"/>
        <w:numPr>
          <w:ilvl w:val="0"/>
          <w:numId w:val="11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Российской Федерации, органа местного самоуправления, содержащего градостроительный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proofErr w:type="gramEnd"/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9"/>
      </w:tblGrid>
      <w:tr w:rsidR="00C70774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0774" w:rsidRDefault="00C7077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774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707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70774" w:rsidRDefault="008D765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  <w:t xml:space="preserve">Решение  </w:t>
                  </w:r>
                  <w:proofErr w:type="spellStart"/>
                  <w:r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  <w:t>Новосидоровской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  <w:t xml:space="preserve"> сельской  Думы от 20.05.2014 г. № 9</w:t>
                  </w:r>
                </w:p>
              </w:tc>
            </w:tr>
            <w:tr w:rsidR="00C707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70774" w:rsidRDefault="008D765D">
                  <w:pPr>
                    <w:pStyle w:val="Standard"/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(наименование представительного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органа местного самоуправления,</w:t>
                  </w:r>
                  <w:proofErr w:type="gramEnd"/>
                </w:p>
              </w:tc>
            </w:tr>
            <w:tr w:rsidR="00C707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70774" w:rsidRDefault="008D765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«Об утверждении Правил землепользования и  застройки 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eastAsia="ru-RU"/>
                    </w:rPr>
                    <w:t>Новосидоровского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сельсовета Кетовского района  Курганской области»</w:t>
                  </w:r>
                </w:p>
              </w:tc>
            </w:tr>
            <w:tr w:rsidR="00C707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70774" w:rsidRDefault="008D765D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реквизиты акта об утверждении правил)</w:t>
                  </w:r>
                </w:p>
              </w:tc>
            </w:tr>
            <w:tr w:rsidR="00C707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Решение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Новосидоровской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сельской  Думы от 16.11.2016 г. № 67</w:t>
                        </w:r>
                      </w:p>
                    </w:tc>
                  </w:tr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lastRenderedPageBreak/>
                          <w:t>(наименование представительного органа местного самоуправления,</w:t>
                        </w:r>
                        <w:proofErr w:type="gramEnd"/>
                      </w:p>
                    </w:tc>
                  </w:tr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«О внесении изменений в Правила землепользования и  застройки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Новосидоровского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сельсовета Кетовского района  Курганской области»</w:t>
                        </w:r>
                      </w:p>
                    </w:tc>
                  </w:tr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C70774" w:rsidRDefault="00C7077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C707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70774" w:rsidRDefault="00C7077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707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Решение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Новосид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оровской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сельской  Думы от 08.02.2017 г. № 73</w:t>
                        </w:r>
                      </w:p>
                    </w:tc>
                  </w:tr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  <w:proofErr w:type="gramEnd"/>
                      </w:p>
                    </w:tc>
                  </w:tr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«О внесении изменений в Правила землепользования и  застройки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Новосидоровского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 сельсовета Кетовского района  Курганской области»</w:t>
                        </w:r>
                      </w:p>
                    </w:tc>
                  </w:tr>
                  <w:tr w:rsidR="00C707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70774" w:rsidRDefault="008D765D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реквизиты 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акта об утверждении правил)</w:t>
                        </w:r>
                      </w:p>
                    </w:tc>
                  </w:tr>
                </w:tbl>
                <w:p w:rsidR="00C70774" w:rsidRDefault="00C7077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70774" w:rsidRDefault="00C7077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774" w:rsidRDefault="00C7077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774" w:rsidRDefault="00C7077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774" w:rsidRDefault="00C7077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774" w:rsidRDefault="008D765D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C70774" w:rsidRDefault="008D765D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                                                                          С.С.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Влеско</w:t>
      </w:r>
      <w:proofErr w:type="spellEnd"/>
    </w:p>
    <w:p w:rsidR="00C70774" w:rsidRDefault="00C7077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774" w:rsidRDefault="00C7077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774" w:rsidRDefault="008D765D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C70774" w:rsidRDefault="008D765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C70774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5D" w:rsidRDefault="008D765D">
      <w:r>
        <w:separator/>
      </w:r>
    </w:p>
  </w:endnote>
  <w:endnote w:type="continuationSeparator" w:id="0">
    <w:p w:rsidR="008D765D" w:rsidRDefault="008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5D" w:rsidRDefault="008D765D">
      <w:r>
        <w:rPr>
          <w:color w:val="000000"/>
        </w:rPr>
        <w:separator/>
      </w:r>
    </w:p>
  </w:footnote>
  <w:footnote w:type="continuationSeparator" w:id="0">
    <w:p w:rsidR="008D765D" w:rsidRDefault="008D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125"/>
    <w:multiLevelType w:val="multilevel"/>
    <w:tmpl w:val="12C6815A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950F82"/>
    <w:multiLevelType w:val="multilevel"/>
    <w:tmpl w:val="434AD2C4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B346297"/>
    <w:multiLevelType w:val="multilevel"/>
    <w:tmpl w:val="088E991A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BF8418A"/>
    <w:multiLevelType w:val="multilevel"/>
    <w:tmpl w:val="1D7A40B4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2B2B53F4"/>
    <w:multiLevelType w:val="multilevel"/>
    <w:tmpl w:val="F4D8AA9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A82448"/>
    <w:multiLevelType w:val="multilevel"/>
    <w:tmpl w:val="2778888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35C87136"/>
    <w:multiLevelType w:val="multilevel"/>
    <w:tmpl w:val="D33AD246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AF464D3"/>
    <w:multiLevelType w:val="multilevel"/>
    <w:tmpl w:val="73C6074E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40AB13FA"/>
    <w:multiLevelType w:val="multilevel"/>
    <w:tmpl w:val="0CF8CA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0CE6CE8"/>
    <w:multiLevelType w:val="multilevel"/>
    <w:tmpl w:val="C42A382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26E4ABA"/>
    <w:multiLevelType w:val="multilevel"/>
    <w:tmpl w:val="059A5984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47B24852"/>
    <w:multiLevelType w:val="multilevel"/>
    <w:tmpl w:val="6D1426D2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C3E3C07"/>
    <w:multiLevelType w:val="multilevel"/>
    <w:tmpl w:val="30B60278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4D230575"/>
    <w:multiLevelType w:val="multilevel"/>
    <w:tmpl w:val="21E0F21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514C1357"/>
    <w:multiLevelType w:val="multilevel"/>
    <w:tmpl w:val="310C25A6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57A6457D"/>
    <w:multiLevelType w:val="multilevel"/>
    <w:tmpl w:val="29423668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A617F22"/>
    <w:multiLevelType w:val="multilevel"/>
    <w:tmpl w:val="3F0C2DA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B80799B"/>
    <w:multiLevelType w:val="multilevel"/>
    <w:tmpl w:val="06CE89D2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7185CB5"/>
    <w:multiLevelType w:val="multilevel"/>
    <w:tmpl w:val="953A7144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98F6BA5"/>
    <w:multiLevelType w:val="multilevel"/>
    <w:tmpl w:val="CCB0F84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08B5B98"/>
    <w:multiLevelType w:val="multilevel"/>
    <w:tmpl w:val="20F82364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748F6DCF"/>
    <w:multiLevelType w:val="multilevel"/>
    <w:tmpl w:val="E330322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76A038EA"/>
    <w:multiLevelType w:val="multilevel"/>
    <w:tmpl w:val="550032A4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A2E7D38"/>
    <w:multiLevelType w:val="multilevel"/>
    <w:tmpl w:val="431CE33C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2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17"/>
  </w:num>
  <w:num w:numId="16">
    <w:abstractNumId w:val="18"/>
  </w:num>
  <w:num w:numId="17">
    <w:abstractNumId w:val="20"/>
  </w:num>
  <w:num w:numId="18">
    <w:abstractNumId w:val="23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2"/>
  </w:num>
  <w:num w:numId="2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774"/>
    <w:rsid w:val="00171E26"/>
    <w:rsid w:val="008D765D"/>
    <w:rsid w:val="00C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P2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1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#P193" TargetMode="External"/><Relationship Id="rId4" Type="http://schemas.openxmlformats.org/officeDocument/2006/relationships/settings" Target="settings.xml"/><Relationship Id="rId9" Type="http://schemas.openxmlformats.org/officeDocument/2006/relationships/hyperlink" Target="#P1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2018-10-24T05:30:00Z</cp:lastPrinted>
  <dcterms:created xsi:type="dcterms:W3CDTF">2018-10-24T05:32:00Z</dcterms:created>
  <dcterms:modified xsi:type="dcterms:W3CDTF">2019-01-22T12:07:00Z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