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D" w:rsidRDefault="00837AB7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939279" cy="6178680"/>
            <wp:effectExtent l="0" t="0" r="4321" b="0"/>
            <wp:wrapSquare wrapText="bothSides"/>
            <wp:docPr id="1" name="1. КГЗ_Н.Сидоровкаутвержде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279" cy="61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Приложение №3</w:t>
      </w:r>
    </w:p>
    <w:p w:rsidR="00EA27BD" w:rsidRDefault="00837AB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На запрос о предоставлении сведений из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Правил землепользования и застройки Новосидоровского сельсовета Кетовского района Курганской области для земельного участка площадью 176 кв.м., с кадастровым номером 45:08:021001:1433 расположенном по адресу: Курганская область, Кетовский район, с. Новая 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идоровска, ул. Заводская, д. 4 Б сообщаем:</w:t>
      </w:r>
    </w:p>
    <w:p w:rsidR="00EA27BD" w:rsidRDefault="00EA27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27BD" w:rsidRDefault="00837AB7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остраняется или для которого градостроительный регламент не устанавливается.</w:t>
      </w:r>
    </w:p>
    <w:p w:rsidR="00EA27BD" w:rsidRDefault="00EA27BD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EA27BD" w:rsidRDefault="00837AB7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EA27BD" w:rsidRDefault="00837AB7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ОД(К)</w:t>
      </w:r>
    </w:p>
    <w:p w:rsidR="00EA27BD" w:rsidRDefault="00EA27BD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7BD" w:rsidRDefault="00837AB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Из правил землепользования и застройки Новосидоровского сельсовета Кетовского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района Курганской области:</w:t>
      </w:r>
    </w:p>
    <w:p w:rsidR="00EA27BD" w:rsidRDefault="00EA27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A27BD" w:rsidRDefault="00837AB7">
      <w:pPr>
        <w:pStyle w:val="Standard"/>
        <w:keepNext/>
        <w:spacing w:before="160" w:after="160" w:line="240" w:lineRule="auto"/>
        <w:ind w:firstLine="709"/>
        <w:jc w:val="both"/>
        <w:outlineLvl w:val="2"/>
      </w:pPr>
      <w:bookmarkStart w:id="1" w:name="_Toc328648676"/>
      <w:bookmarkStart w:id="2" w:name="_Toc312827171"/>
      <w:bookmarkStart w:id="3" w:name="_Toc243038124"/>
      <w:bookmarkStart w:id="4" w:name="_Toc242771880"/>
      <w:r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Статья 72. Градостроительные регламенты. Общественно-деловые зоны</w:t>
      </w:r>
      <w:bookmarkEnd w:id="1"/>
      <w:bookmarkEnd w:id="2"/>
      <w:bookmarkEnd w:id="3"/>
      <w:bookmarkEnd w:id="4"/>
    </w:p>
    <w:p w:rsidR="00EA27BD" w:rsidRDefault="00837AB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lang w:eastAsia="ru-RU"/>
        </w:rPr>
        <w:t xml:space="preserve">Общественно-деловые зоны предназначены для застройки территории многофункциональными комплексными объектами и специализированными объектами общественно-делового </w:t>
      </w:r>
      <w:r>
        <w:rPr>
          <w:rFonts w:ascii="Times New Roman" w:hAnsi="Times New Roman"/>
          <w:sz w:val="24"/>
          <w:lang w:eastAsia="ru-RU"/>
        </w:rPr>
        <w:t>назначения, в том числе:</w:t>
      </w:r>
    </w:p>
    <w:p w:rsidR="00EA27BD" w:rsidRDefault="00837AB7">
      <w:pPr>
        <w:pStyle w:val="Standard"/>
        <w:keepNext/>
        <w:spacing w:before="160" w:after="160" w:line="240" w:lineRule="auto"/>
        <w:ind w:firstLine="709"/>
        <w:jc w:val="center"/>
        <w:outlineLvl w:val="3"/>
      </w:pPr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>ОД(К). Комплексная общественно-деловая зона</w:t>
      </w:r>
    </w:p>
    <w:p w:rsidR="00EA27BD" w:rsidRDefault="00837AB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lang w:eastAsia="ru-RU"/>
        </w:rPr>
        <w:t>Комплексная общественно-деловая зона – территории, застроенные или планируемые к застройке административными, деловыми, банковскими, торговыми, и иными общественными объектами социального</w:t>
      </w:r>
      <w:r>
        <w:rPr>
          <w:rFonts w:ascii="Times New Roman" w:hAnsi="Times New Roman"/>
          <w:sz w:val="24"/>
          <w:lang w:eastAsia="ru-RU"/>
        </w:rPr>
        <w:t xml:space="preserve"> и культурно-бытового обслуживания</w:t>
      </w:r>
    </w:p>
    <w:p w:rsidR="00EA27BD" w:rsidRDefault="00837AB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lang w:eastAsia="ru-RU"/>
        </w:rPr>
        <w:t>Зона сосредоточенных на относительно небольшой территории административных, деловых, банковских, торговых, общественно-развлекательных зданий, парковок, обслуживающих эти здания.</w:t>
      </w:r>
    </w:p>
    <w:p w:rsidR="00EA27BD" w:rsidRDefault="00EA27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A27BD" w:rsidRDefault="00837AB7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640" cy="6179040"/>
            <wp:effectExtent l="0" t="0" r="396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640" cy="617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27BD" w:rsidRDefault="00837AB7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EA27BD" w:rsidRDefault="00EA27BD">
      <w:pPr>
        <w:pStyle w:val="Standard"/>
        <w:spacing w:after="0" w:line="240" w:lineRule="auto"/>
        <w:ind w:left="4320" w:firstLine="72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A27BD" w:rsidRDefault="00837AB7">
      <w:pPr>
        <w:pStyle w:val="Standard"/>
        <w:keepNext/>
        <w:spacing w:before="120" w:after="120" w:line="240" w:lineRule="auto"/>
        <w:ind w:firstLine="709"/>
        <w:jc w:val="both"/>
        <w:outlineLvl w:val="4"/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>Основны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>е виды разрешенного использования: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административные здания, офисы;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- отдельно стоящие объекты культурно-бытового, социального и коммунального обслуживания;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жилые помещения в зданиях смешанного использования, на верхних этажах над помещениями, где раз</w:t>
      </w:r>
      <w:r>
        <w:rPr>
          <w:rFonts w:ascii="Times New Roman" w:hAnsi="Times New Roman"/>
          <w:sz w:val="24"/>
          <w:szCs w:val="24"/>
        </w:rPr>
        <w:t>решена коммерческая деятельность;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центры социального обслуживания населения;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библиотеки;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предприятия связи;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объекты торговли и общественного питания (кафе, закусочные, столовые);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рынки открытые, мини рынки;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юридические учреждения;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отделения банков;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стоматологические кабинеты;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гостиницы;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объекты, связанные с отправлением культа;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учебные заведения среднего профессионального образования (филиалы);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клубы;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бюро и магазины ритуального обслуживания.</w:t>
      </w:r>
    </w:p>
    <w:p w:rsidR="00EA27BD" w:rsidRDefault="00837AB7">
      <w:pPr>
        <w:pStyle w:val="Standard"/>
        <w:keepNext/>
        <w:spacing w:before="160" w:after="160" w:line="240" w:lineRule="auto"/>
        <w:ind w:firstLine="709"/>
        <w:jc w:val="center"/>
        <w:outlineLvl w:val="3"/>
      </w:pPr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 xml:space="preserve">Вспомогательные виды </w:t>
      </w:r>
      <w:r>
        <w:rPr>
          <w:rFonts w:ascii="Times New Roman" w:eastAsia="Lucida Sans Unicode" w:hAnsi="Times New Roman"/>
          <w:b/>
          <w:bCs/>
          <w:color w:val="000000"/>
          <w:sz w:val="24"/>
          <w:szCs w:val="26"/>
          <w:u w:val="single"/>
          <w:lang w:eastAsia="ru-RU"/>
        </w:rPr>
        <w:t>использования, являющиеся дополнительными к основным видам использования: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открытое размещение временные автостоянки легковых автомобилей у общественных зданий;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общественные туалеты;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скверы, бульвары, площадки для проведения массовых мероприятий;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зеленые насаждения;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малые архитектурные формы;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объекты инженерной инфраструктуры предназначенные для обслуживания объектов капитального строительства</w:t>
      </w:r>
    </w:p>
    <w:p w:rsidR="00EA27BD" w:rsidRDefault="00837AB7">
      <w:pPr>
        <w:pStyle w:val="Standard"/>
        <w:keepNext/>
        <w:spacing w:before="120" w:after="120" w:line="240" w:lineRule="auto"/>
        <w:ind w:firstLine="709"/>
        <w:jc w:val="both"/>
        <w:outlineLvl w:val="4"/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>Условно разрешенные виды использования: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многоквартирные жилые дома преимущественно с учреждениями</w:t>
      </w:r>
      <w:r>
        <w:rPr>
          <w:rFonts w:ascii="Times New Roman" w:hAnsi="Times New Roman"/>
          <w:sz w:val="24"/>
        </w:rPr>
        <w:t xml:space="preserve"> обслуживания;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киоски, павильоны торговли и обслуживания населения;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общественные бани;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участковые пункты милиции;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сооружения для постоянного хранения транспортных средств.</w:t>
      </w:r>
    </w:p>
    <w:p w:rsidR="00EA27BD" w:rsidRDefault="00837AB7">
      <w:pPr>
        <w:pStyle w:val="Standard"/>
        <w:widowControl w:val="0"/>
        <w:spacing w:before="120" w:after="120" w:line="240" w:lineRule="auto"/>
        <w:ind w:firstLine="709"/>
        <w:jc w:val="both"/>
      </w:pPr>
      <w:r>
        <w:rPr>
          <w:rFonts w:ascii="Times New Roman" w:hAnsi="Times New Roman"/>
          <w:sz w:val="24"/>
          <w:u w:val="single"/>
        </w:rPr>
        <w:t xml:space="preserve">Вспомогательные виды использования, являющиеся дополнительными к условно </w:t>
      </w:r>
      <w:r>
        <w:rPr>
          <w:rFonts w:ascii="Times New Roman" w:hAnsi="Times New Roman"/>
          <w:sz w:val="24"/>
          <w:u w:val="single"/>
        </w:rPr>
        <w:t>разрешённым видам использования: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автостоянки и парковки перед объектами обслуживающих и коммерческих видов использования;</w:t>
      </w:r>
    </w:p>
    <w:p w:rsidR="00EA27BD" w:rsidRDefault="00837AB7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инженерные сооружения и объекты, предназначенные для обслуживания объектов условно разрешённых видов использования.</w:t>
      </w:r>
    </w:p>
    <w:p w:rsidR="00EA27BD" w:rsidRDefault="00837AB7">
      <w:pPr>
        <w:pStyle w:val="Standard"/>
        <w:keepNext/>
        <w:spacing w:before="120" w:after="120" w:line="240" w:lineRule="auto"/>
        <w:ind w:firstLine="709"/>
        <w:jc w:val="both"/>
        <w:outlineLvl w:val="4"/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>Параметры осно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6"/>
          <w:u w:val="single"/>
          <w:lang w:eastAsia="ru-RU"/>
        </w:rPr>
        <w:t>вных и вспомогательных и условно разрешённых видов разрешенного использования и строительства (см. табл.57,58):</w:t>
      </w:r>
    </w:p>
    <w:p w:rsidR="00EA27BD" w:rsidRDefault="00837AB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Параметры основных и вспомогательных видов разрешенного строительства применяются при соблюдении требований, СП 42.13330.2011. «Свод правил. Гра</w:t>
      </w:r>
      <w:r>
        <w:rPr>
          <w:rFonts w:ascii="Times New Roman" w:hAnsi="Times New Roman"/>
          <w:sz w:val="24"/>
        </w:rPr>
        <w:t xml:space="preserve">достроительство. Планировка и застройка городских и сельских поселений. (Актуализированная редакция СНиП 2.07.01-89*)», "СНиП 31-06-2009. Общественные здания и сооружения", </w:t>
      </w:r>
      <w:r>
        <w:rPr>
          <w:rFonts w:ascii="Times New Roman" w:hAnsi="Times New Roman"/>
          <w:color w:val="000000"/>
          <w:sz w:val="24"/>
        </w:rPr>
        <w:t>СП 31-102-99 Свод правил Требования доступности общественных зданий и сооружений дл</w:t>
      </w:r>
      <w:r>
        <w:rPr>
          <w:rFonts w:ascii="Times New Roman" w:hAnsi="Times New Roman"/>
          <w:color w:val="000000"/>
          <w:sz w:val="24"/>
        </w:rPr>
        <w:t xml:space="preserve">я инвалидов и других мало мобильных групп посетителей, СП 35-105-2002«Свод правил Реконструкция городской застройки с учётом доступности для инвалидов и других мало мобильных групп населения», </w:t>
      </w:r>
      <w:r>
        <w:rPr>
          <w:rFonts w:ascii="Times New Roman" w:hAnsi="Times New Roman"/>
          <w:sz w:val="24"/>
        </w:rPr>
        <w:t xml:space="preserve">СанПиН 2.2.1/2.1.1.1200-03 </w:t>
      </w:r>
      <w:r>
        <w:rPr>
          <w:rFonts w:ascii="Times New Roman" w:hAnsi="Times New Roman"/>
          <w:sz w:val="24"/>
        </w:rPr>
        <w:lastRenderedPageBreak/>
        <w:t>«Санитарно-защитные зоны и санитарна</w:t>
      </w:r>
      <w:r>
        <w:rPr>
          <w:rFonts w:ascii="Times New Roman" w:hAnsi="Times New Roman"/>
          <w:sz w:val="24"/>
        </w:rPr>
        <w:t>я классификация предприятий, сооружений и иных объектов», технических регламентов, в том числе Технического регламента пожарной безопасности (от 22 июля 2008 г. № 123-ФЗ), региональных нормативов градостроительного проектирования Курганской области.</w:t>
      </w:r>
    </w:p>
    <w:p w:rsidR="00EA27BD" w:rsidRDefault="00837AB7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1. Мин</w:t>
      </w:r>
      <w:r>
        <w:rPr>
          <w:rFonts w:ascii="Times New Roman" w:hAnsi="Times New Roman"/>
          <w:sz w:val="24"/>
        </w:rPr>
        <w:t>имальные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поселений. (Актуализированная</w:t>
      </w:r>
      <w:r>
        <w:rPr>
          <w:rFonts w:ascii="Times New Roman" w:hAnsi="Times New Roman"/>
          <w:sz w:val="24"/>
        </w:rPr>
        <w:t xml:space="preserve"> редакция СНиП 2.07.01-89*)», "СНиП 31-06-2009. Общественные здания и сооружения", 30-102-99 "Планировка и застройка территорий малоэтажного строительства" и иных действующих нормативов, в том числе региональных нормативов градостроительного проектирования</w:t>
      </w:r>
      <w:r>
        <w:rPr>
          <w:rFonts w:ascii="Times New Roman" w:hAnsi="Times New Roman"/>
          <w:sz w:val="24"/>
        </w:rPr>
        <w:t xml:space="preserve"> Курганской области.</w:t>
      </w:r>
    </w:p>
    <w:p w:rsidR="00EA27BD" w:rsidRDefault="00EA27BD">
      <w:pPr>
        <w:pStyle w:val="Standard"/>
        <w:widowControl w:val="0"/>
        <w:tabs>
          <w:tab w:val="left" w:pos="2149"/>
        </w:tabs>
        <w:spacing w:after="0" w:line="240" w:lineRule="auto"/>
        <w:ind w:left="936" w:right="286"/>
        <w:jc w:val="both"/>
        <w:rPr>
          <w:rFonts w:ascii="Times New Roman" w:hAnsi="Times New Roman"/>
          <w:sz w:val="24"/>
          <w:lang w:eastAsia="ru-RU"/>
        </w:rPr>
      </w:pPr>
    </w:p>
    <w:p w:rsidR="00EA27BD" w:rsidRDefault="00837AB7">
      <w:pPr>
        <w:pStyle w:val="Standard"/>
        <w:widowControl w:val="0"/>
        <w:tabs>
          <w:tab w:val="left" w:pos="0"/>
        </w:tabs>
        <w:spacing w:after="0" w:line="100" w:lineRule="atLeast"/>
        <w:jc w:val="right"/>
      </w:pPr>
      <w:r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</w:p>
    <w:tbl>
      <w:tblPr>
        <w:tblW w:w="969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738"/>
        <w:gridCol w:w="621"/>
        <w:gridCol w:w="511"/>
        <w:gridCol w:w="111"/>
        <w:gridCol w:w="621"/>
        <w:gridCol w:w="778"/>
        <w:gridCol w:w="621"/>
        <w:gridCol w:w="777"/>
        <w:gridCol w:w="469"/>
        <w:gridCol w:w="1241"/>
        <w:gridCol w:w="777"/>
        <w:gridCol w:w="777"/>
        <w:gridCol w:w="622"/>
        <w:gridCol w:w="777"/>
      </w:tblGrid>
      <w:tr w:rsidR="00EA27BD">
        <w:tblPrEx>
          <w:tblCellMar>
            <w:top w:w="0" w:type="dxa"/>
            <w:bottom w:w="0" w:type="dxa"/>
          </w:tblCellMar>
        </w:tblPrEx>
        <w:trPr>
          <w:gridAfter w:val="11"/>
          <w:wAfter w:w="6900" w:type="dxa"/>
          <w:tblHeader/>
        </w:trPr>
        <w:tc>
          <w:tcPr>
            <w:tcW w:w="233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4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103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Градостроительные регламенты территориальных зон, функциональные зоны для которых градостроительные регламенты не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устанавливаются</w:t>
            </w:r>
          </w:p>
        </w:tc>
      </w:tr>
      <w:tr w:rsidR="00EA27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7AB7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7AB7"/>
        </w:tc>
        <w:tc>
          <w:tcPr>
            <w:tcW w:w="4110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EA27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27BD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233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7AB7"/>
        </w:tc>
        <w:tc>
          <w:tcPr>
            <w:tcW w:w="674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837AB7"/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31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Минимальное количество надземных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этажей зданий, строений, сооружений, (ед.)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A27BD" w:rsidRDefault="00837AB7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EA27BD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3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a7"/>
              <w:ind w:left="28" w:right="28"/>
              <w:jc w:val="center"/>
            </w:pPr>
            <w:r>
              <w:rPr>
                <w:b/>
                <w:sz w:val="16"/>
                <w:szCs w:val="16"/>
              </w:rPr>
              <w:t>ОД(К)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27BD" w:rsidRDefault="00837AB7">
            <w:pPr>
              <w:pStyle w:val="Standard"/>
              <w:jc w:val="center"/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EA27BD" w:rsidRDefault="00EA27BD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7BD" w:rsidRDefault="00837AB7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EA27BD" w:rsidRDefault="00837AB7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EA27BD" w:rsidRDefault="00837AB7">
      <w:pPr>
        <w:pStyle w:val="Standard"/>
        <w:numPr>
          <w:ilvl w:val="1"/>
          <w:numId w:val="11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EA27BD" w:rsidRDefault="00EA27BD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7BD" w:rsidRDefault="00837AB7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государственной власти субъекта Российской Федерации, органа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EA27BD" w:rsidRDefault="00EA27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9"/>
      </w:tblGrid>
      <w:tr w:rsidR="00EA27B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27BD" w:rsidRDefault="00EA27B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7BD">
        <w:tblPrEx>
          <w:tblCellMar>
            <w:top w:w="0" w:type="dxa"/>
            <w:bottom w:w="0" w:type="dxa"/>
          </w:tblCellMar>
        </w:tblPrEx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49"/>
            </w:tblGrid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7BD" w:rsidRDefault="00837AB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  <w:t>Решение  Новосидоровской сельской  Дум</w:t>
                  </w:r>
                  <w:r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  <w:t>ы от 20.05.2014 г. № 9</w:t>
                  </w:r>
                </w:p>
              </w:tc>
            </w:tr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7BD" w:rsidRDefault="00837AB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(наименование представительного органа местного самоуправления,</w:t>
                  </w:r>
                </w:p>
              </w:tc>
            </w:tr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7BD" w:rsidRDefault="00837AB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«Об утверждении Правил землепользования и  застройки  Новосидоровского сельсовета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Кетовского района  Курганской области»</w:t>
                  </w:r>
                </w:p>
              </w:tc>
            </w:tr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7BD" w:rsidRDefault="00837AB7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реквизиты акта об утверждении правил)</w:t>
                  </w:r>
                </w:p>
              </w:tc>
            </w:tr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Решение  Новосидоровской сельской  Думы от 16.11.2016 г. № 67</w:t>
                        </w:r>
                      </w:p>
                    </w:tc>
                  </w:tr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«О внесении изменений в Правила землепользования и  застройки  Новосидоровского сельсовета Кетовского района  Курганской области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EA27BD" w:rsidRDefault="00EA27BD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7BD" w:rsidRDefault="00EA27BD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A27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934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9"/>
                  </w:tblGrid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Решение  Новосидоровской сельской  Думы от 08.02.2017 г. № 73</w:t>
                        </w:r>
                      </w:p>
                    </w:tc>
                  </w:tr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(наименование представительного органа местного самоуправления,</w:t>
                        </w:r>
                      </w:p>
                    </w:tc>
                  </w:tr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9349" w:type="dxa"/>
                        <w:tcBorders>
                          <w:bottom w:val="single" w:sz="4" w:space="0" w:color="00000A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 xml:space="preserve">«О внесении изменений в Правила землепользования и  застройки  Новосидоровского </w:t>
                        </w: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сельсовета Кетовского района  Курганской области»</w:t>
                        </w:r>
                      </w:p>
                    </w:tc>
                  </w:tr>
                  <w:tr w:rsidR="00EA27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34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EA27BD" w:rsidRDefault="00837AB7">
                        <w:pPr>
                          <w:pStyle w:val="Standard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lang w:eastAsia="ru-RU"/>
                          </w:rPr>
                          <w:t>реквизиты акта об утверждении правил)</w:t>
                        </w:r>
                      </w:p>
                    </w:tc>
                  </w:tr>
                </w:tbl>
                <w:p w:rsidR="00EA27BD" w:rsidRDefault="00EA27BD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A27BD" w:rsidRDefault="00EA27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7BD" w:rsidRDefault="00EA27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7BD" w:rsidRDefault="00EA27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7BD" w:rsidRDefault="00EA27BD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7BD" w:rsidRDefault="00837AB7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EA27BD" w:rsidRDefault="00837AB7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                                                                           С.С. Влеско</w:t>
      </w:r>
    </w:p>
    <w:p w:rsidR="00EA27BD" w:rsidRDefault="00EA27B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7BD" w:rsidRDefault="00EA27BD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A27BD" w:rsidRDefault="00EA27BD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A27BD" w:rsidRDefault="00837AB7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EA27BD" w:rsidRDefault="00837AB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(35231)2-37-17</w:t>
      </w:r>
    </w:p>
    <w:sectPr w:rsidR="00EA27BD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B7" w:rsidRDefault="00837AB7">
      <w:r>
        <w:separator/>
      </w:r>
    </w:p>
  </w:endnote>
  <w:endnote w:type="continuationSeparator" w:id="0">
    <w:p w:rsidR="00837AB7" w:rsidRDefault="0083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B7" w:rsidRDefault="00837AB7">
      <w:r>
        <w:rPr>
          <w:color w:val="000000"/>
        </w:rPr>
        <w:separator/>
      </w:r>
    </w:p>
  </w:footnote>
  <w:footnote w:type="continuationSeparator" w:id="0">
    <w:p w:rsidR="00837AB7" w:rsidRDefault="0083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F29"/>
    <w:multiLevelType w:val="multilevel"/>
    <w:tmpl w:val="32E02B90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41158C"/>
    <w:multiLevelType w:val="multilevel"/>
    <w:tmpl w:val="BEB82DB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DC2492"/>
    <w:multiLevelType w:val="multilevel"/>
    <w:tmpl w:val="713439A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04261CA"/>
    <w:multiLevelType w:val="multilevel"/>
    <w:tmpl w:val="A716648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9703A"/>
    <w:multiLevelType w:val="multilevel"/>
    <w:tmpl w:val="533A717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5DA4894"/>
    <w:multiLevelType w:val="multilevel"/>
    <w:tmpl w:val="3650F4F6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A414A17"/>
    <w:multiLevelType w:val="multilevel"/>
    <w:tmpl w:val="125EF478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DC06B97"/>
    <w:multiLevelType w:val="multilevel"/>
    <w:tmpl w:val="7E1C7106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563472A"/>
    <w:multiLevelType w:val="multilevel"/>
    <w:tmpl w:val="ACB4FAB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8554695"/>
    <w:multiLevelType w:val="multilevel"/>
    <w:tmpl w:val="1316A800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4341605D"/>
    <w:multiLevelType w:val="multilevel"/>
    <w:tmpl w:val="4A72673A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4A5137BC"/>
    <w:multiLevelType w:val="multilevel"/>
    <w:tmpl w:val="DC74D5C0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50300092"/>
    <w:multiLevelType w:val="multilevel"/>
    <w:tmpl w:val="41C0C41E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53E0011"/>
    <w:multiLevelType w:val="multilevel"/>
    <w:tmpl w:val="71D67AA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88E02E7"/>
    <w:multiLevelType w:val="multilevel"/>
    <w:tmpl w:val="165C0DEE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59D76520"/>
    <w:multiLevelType w:val="multilevel"/>
    <w:tmpl w:val="8426450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5A1E0707"/>
    <w:multiLevelType w:val="multilevel"/>
    <w:tmpl w:val="9942FAE4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5C1D1628"/>
    <w:multiLevelType w:val="multilevel"/>
    <w:tmpl w:val="56CC5472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03F0B1B"/>
    <w:multiLevelType w:val="multilevel"/>
    <w:tmpl w:val="54AA55FE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60490996"/>
    <w:multiLevelType w:val="multilevel"/>
    <w:tmpl w:val="D76C09D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68C23A99"/>
    <w:multiLevelType w:val="multilevel"/>
    <w:tmpl w:val="6F4C1D4A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8F6676B"/>
    <w:multiLevelType w:val="multilevel"/>
    <w:tmpl w:val="66FAEB48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6DF63CC3"/>
    <w:multiLevelType w:val="multilevel"/>
    <w:tmpl w:val="76F402F2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778734F5"/>
    <w:multiLevelType w:val="multilevel"/>
    <w:tmpl w:val="94CA9C48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0"/>
  </w:num>
  <w:num w:numId="5">
    <w:abstractNumId w:val="23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1"/>
  </w:num>
  <w:num w:numId="21">
    <w:abstractNumId w:val="22"/>
  </w:num>
  <w:num w:numId="22">
    <w:abstractNumId w:val="7"/>
  </w:num>
  <w:num w:numId="23">
    <w:abstractNumId w:val="6"/>
  </w:num>
  <w:num w:numId="24">
    <w:abstractNumId w:val="2"/>
  </w:num>
  <w:num w:numId="2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27BD"/>
    <w:rsid w:val="006F150F"/>
    <w:rsid w:val="00837AB7"/>
    <w:rsid w:val="00BC33A7"/>
    <w:rsid w:val="00E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2</cp:revision>
  <cp:lastPrinted>2018-10-24T05:04:00Z</cp:lastPrinted>
  <dcterms:created xsi:type="dcterms:W3CDTF">2018-12-14T06:36:00Z</dcterms:created>
  <dcterms:modified xsi:type="dcterms:W3CDTF">2018-12-14T06:36:00Z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