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5F" w:rsidRDefault="007E79AE">
      <w:pPr>
        <w:pStyle w:val="Standard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152600" cy="4284000"/>
            <wp:effectExtent l="0" t="0" r="300" b="2250"/>
            <wp:wrapSquare wrapText="bothSides"/>
            <wp:docPr id="1" name="ГАЛИШО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6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Приложение №3 А</w:t>
      </w:r>
    </w:p>
    <w:p w:rsidR="001D625F" w:rsidRDefault="007E79AE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 запрос о предоставлении сведений из Правил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землепользования и застройки Менщиковского сельсовета Кетовского района Курганской области для жилого дома, на земельном участке, расположенном по адресу: Курганская область, Кетовский район, д. Галишово, ул. Октябрьская, д. 16, сообщаем:</w:t>
      </w:r>
    </w:p>
    <w:p w:rsidR="001D625F" w:rsidRDefault="001D625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D625F" w:rsidRDefault="007E79AE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устанавливается.</w:t>
      </w:r>
    </w:p>
    <w:p w:rsidR="001D625F" w:rsidRDefault="001D625F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1D625F" w:rsidRDefault="007E79AE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1D625F" w:rsidRDefault="007E79A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5F" w:rsidRDefault="007E79A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Менщиковского сельсовета Кетовского района Курганской области:</w:t>
      </w: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D625F" w:rsidRDefault="007E79AE">
      <w:pPr>
        <w:pStyle w:val="Standard"/>
        <w:keepNext/>
        <w:widowControl w:val="0"/>
        <w:tabs>
          <w:tab w:val="left" w:pos="0"/>
        </w:tabs>
        <w:spacing w:after="0" w:line="100" w:lineRule="atLeast"/>
        <w:jc w:val="center"/>
        <w:outlineLvl w:val="2"/>
        <w:rPr>
          <w:rFonts w:ascii="Times New Roman" w:eastAsia="Times New Roman" w:hAnsi="Times New Roman"/>
          <w:b/>
          <w:bCs/>
          <w:sz w:val="26"/>
          <w:lang w:bidi="en-US"/>
        </w:rPr>
      </w:pPr>
      <w:bookmarkStart w:id="1" w:name="_Toc459116526"/>
      <w:r>
        <w:rPr>
          <w:rFonts w:ascii="Times New Roman" w:eastAsia="Times New Roman" w:hAnsi="Times New Roman"/>
          <w:b/>
          <w:bCs/>
          <w:sz w:val="26"/>
          <w:lang w:bidi="en-US"/>
        </w:rPr>
        <w:t xml:space="preserve">Статья 67. Градостроительные </w:t>
      </w:r>
      <w:r>
        <w:rPr>
          <w:rFonts w:ascii="Times New Roman" w:eastAsia="Times New Roman" w:hAnsi="Times New Roman"/>
          <w:b/>
          <w:bCs/>
          <w:sz w:val="26"/>
          <w:lang w:bidi="en-US"/>
        </w:rPr>
        <w:t>регламенты жилой зоны</w:t>
      </w:r>
      <w:bookmarkEnd w:id="1"/>
    </w:p>
    <w:p w:rsidR="001D625F" w:rsidRDefault="001D625F">
      <w:pPr>
        <w:pStyle w:val="Standard"/>
        <w:widowControl w:val="0"/>
        <w:spacing w:after="0" w:line="100" w:lineRule="atLeast"/>
        <w:ind w:firstLine="680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sz w:val="26"/>
          <w:szCs w:val="26"/>
          <w:lang w:bidi="en-US"/>
        </w:rPr>
        <w:t>Территориальная зона жилой застройки выделена для обеспечения правовых условий формирования жилой застройки. Жилые зоны (коды зон Ж-1, Ж-2) предназначены для застройки жилыми домами с минимально разрешенным набором услуг местного зна</w:t>
      </w:r>
      <w:r>
        <w:rPr>
          <w:rFonts w:ascii="Times New Roman" w:eastAsia="Lucida Sans Unicode" w:hAnsi="Times New Roman" w:cs="Tahoma"/>
          <w:sz w:val="26"/>
          <w:szCs w:val="26"/>
          <w:lang w:bidi="en-US"/>
        </w:rPr>
        <w:t>чения.</w:t>
      </w:r>
    </w:p>
    <w:p w:rsidR="001D625F" w:rsidRDefault="001D625F">
      <w:pPr>
        <w:pStyle w:val="Standard"/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bookmarkStart w:id="2" w:name="_Toc451760281"/>
      <w:bookmarkStart w:id="3" w:name="_Toc451777014"/>
    </w:p>
    <w:p w:rsidR="001D625F" w:rsidRDefault="007E79AE">
      <w:pPr>
        <w:pStyle w:val="Standard"/>
        <w:keepNext/>
        <w:widowControl w:val="0"/>
        <w:tabs>
          <w:tab w:val="left" w:pos="0"/>
        </w:tabs>
        <w:spacing w:after="0" w:line="240" w:lineRule="auto"/>
        <w:jc w:val="center"/>
        <w:outlineLvl w:val="3"/>
      </w:pPr>
      <w:bookmarkStart w:id="4" w:name="_Toc459116527"/>
      <w:r>
        <w:rPr>
          <w:rFonts w:ascii="Times New Roman" w:eastAsia="Times New Roman" w:hAnsi="Times New Roman"/>
          <w:b/>
          <w:bCs/>
          <w:sz w:val="26"/>
          <w:szCs w:val="28"/>
          <w:lang w:bidi="en-US"/>
        </w:rPr>
        <w:t>67.1. Виды разрешённого использования зоны Ж-1 индивидуальной</w:t>
      </w:r>
      <w:bookmarkEnd w:id="2"/>
      <w:r>
        <w:rPr>
          <w:rFonts w:ascii="Times New Roman" w:eastAsia="Times New Roman" w:hAnsi="Times New Roman"/>
          <w:b/>
          <w:bCs/>
          <w:sz w:val="26"/>
          <w:szCs w:val="28"/>
          <w:lang w:bidi="en-US"/>
        </w:rPr>
        <w:t xml:space="preserve"> жилой застройки</w:t>
      </w:r>
      <w:bookmarkEnd w:id="3"/>
      <w:bookmarkEnd w:id="4"/>
    </w:p>
    <w:p w:rsidR="001D625F" w:rsidRDefault="007E79AE">
      <w:pPr>
        <w:pStyle w:val="Standard"/>
        <w:widowControl w:val="0"/>
        <w:spacing w:after="0" w:line="100" w:lineRule="atLeast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6"/>
          <w:szCs w:val="28"/>
          <w:lang w:bidi="en-US"/>
        </w:rPr>
        <w:t>и  личного подсобного хозяйства</w:t>
      </w:r>
    </w:p>
    <w:p w:rsidR="001D625F" w:rsidRDefault="007E79AE">
      <w:pPr>
        <w:pStyle w:val="Standard"/>
        <w:spacing w:before="100"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отдельно стоящих одноквартирных домов, блокированных двухквартирных и блокированных многоквартирных домов.</w:t>
      </w: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D625F" w:rsidRDefault="007E79AE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152960" cy="4283640"/>
            <wp:effectExtent l="0" t="0" r="0" b="261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60" cy="4283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625F" w:rsidRDefault="007E79AE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Размещение земельного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участка</w:t>
      </w:r>
    </w:p>
    <w:p w:rsidR="001D625F" w:rsidRDefault="001D625F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1D625F" w:rsidRDefault="007E79AE">
      <w:pPr>
        <w:pStyle w:val="Standard"/>
        <w:widowControl w:val="0"/>
        <w:numPr>
          <w:ilvl w:val="3"/>
          <w:numId w:val="9"/>
        </w:numPr>
        <w:spacing w:after="0" w:line="100" w:lineRule="atLeast"/>
        <w:rPr>
          <w:rFonts w:ascii="Times New Roman" w:eastAsia="Times New Roman" w:hAnsi="Times New Roman"/>
          <w:bCs/>
          <w:sz w:val="26"/>
          <w:szCs w:val="28"/>
          <w:lang w:bidi="en-US"/>
        </w:rPr>
      </w:pPr>
      <w:r>
        <w:rPr>
          <w:rFonts w:ascii="Times New Roman" w:eastAsia="Times New Roman" w:hAnsi="Times New Roman"/>
          <w:bCs/>
          <w:sz w:val="26"/>
          <w:szCs w:val="28"/>
          <w:lang w:bidi="en-US"/>
        </w:rPr>
        <w:t>Основные виды разрешенного использования</w:t>
      </w:r>
    </w:p>
    <w:p w:rsidR="001D625F" w:rsidRDefault="007E79AE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Таблица 2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543"/>
        <w:gridCol w:w="3404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разрешенного использования 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20" w:lineRule="exact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en-US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разрешенного строительства и использования земельных участков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Дом, пригодный для постоянного проживания, высотой не выше трех надземных этажей. Максимальный процент застройки земельного участка - 30%, другие параметры в таблице 57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Жилой дом, не предназначенный для раздела на квартиры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Дом, пригодный для постоянного проживания, высотой не выше трех надземных этажей. Максимальный процент застройки земельного участка - 30%, другие параметры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 в таблице 57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2.3)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Блокированные жилые дома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Этажность – не выше 3-х надземных этажей включи-тельно. Блокированные двухквартирные жилые дома, состоящие из двух блоков.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 xml:space="preserve">Максимальный процент застройки земельного участка -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eastAsia="ru-RU" w:bidi="en-US"/>
              </w:rPr>
              <w:t>30% на один блок, другие параметры в таблице 57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жилой застройки (код 2.7)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капитального строительства, размещение которых предусмотрено видами разрешенного использования с </w:t>
            </w:r>
            <w:hyperlink r:id="rId9" w:history="1">
              <w:r>
                <w:t>кодами 3.1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(коммунальное обслу-живание), </w:t>
            </w:r>
            <w:hyperlink r:id="rId10" w:history="1">
              <w:r>
                <w:t>3.4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(здравоохранение), </w:t>
            </w:r>
            <w:hyperlink r:id="rId11" w:history="1">
              <w:r>
                <w:t>3.4.1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(амбулаторно-поликлиническое обслужи-вание), </w:t>
            </w:r>
            <w:hyperlink r:id="rId12" w:history="1">
              <w:r>
                <w:t>3.10.1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(амбулаторное ветери-нарное обслуживание), </w:t>
            </w:r>
            <w:hyperlink r:id="rId13" w:history="1">
              <w:r>
                <w:t>4.7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иничное обслуживание),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100" w:lineRule="atLeast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Та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блица 57, 58</w:t>
            </w:r>
          </w:p>
        </w:tc>
      </w:tr>
    </w:tbl>
    <w:p w:rsidR="001D625F" w:rsidRDefault="007E79A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В основных видах использования из разрешенных пунктом 3.3 Классификатора предусматривается только размещение бань для индивидуального пользования.</w:t>
      </w:r>
    </w:p>
    <w:p w:rsidR="001D625F" w:rsidRDefault="007E79A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625F" w:rsidRDefault="007E79AE">
      <w:pPr>
        <w:pStyle w:val="Standard"/>
        <w:widowControl w:val="0"/>
        <w:numPr>
          <w:ilvl w:val="3"/>
          <w:numId w:val="9"/>
        </w:num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Вспомогательные виды разрешенного использования</w:t>
      </w:r>
    </w:p>
    <w:p w:rsidR="001D625F" w:rsidRDefault="007E79AE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543"/>
        <w:gridCol w:w="3404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Виды разрешенного использовани</w:t>
            </w:r>
            <w:r>
              <w:rPr>
                <w:b/>
                <w:bCs/>
                <w:color w:val="00000A"/>
                <w:sz w:val="20"/>
                <w:szCs w:val="20"/>
              </w:rPr>
              <w:t>я земельных участков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Параметры разрешенного строительства и использования земельных участков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a7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  <w:p w:rsidR="001D625F" w:rsidRDefault="007E79AE">
            <w:pPr>
              <w:pStyle w:val="a8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(код 2.1)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Индивидуальный гараж</w:t>
            </w:r>
          </w:p>
        </w:tc>
        <w:tc>
          <w:tcPr>
            <w:tcW w:w="3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Предельные параметры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таблице 58. Водоотвод с крыш объектов должен осуществляться на земельный участок собственника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Подсобные сооружения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a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хозяйства (код 2.2)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Гараж</w:t>
            </w:r>
          </w:p>
        </w:tc>
        <w:tc>
          <w:tcPr>
            <w:tcW w:w="3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Предельные параметры в таблице 58. Водоотвод с крыш объектов должен осуществляться на 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участок собственника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Иные вспомогательные сооружения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ConsPlusNormal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a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  <w:p w:rsidR="001D625F" w:rsidRDefault="007E79AE">
            <w:pPr>
              <w:pStyle w:val="a7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(код 2.3)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Индивидуальный гараж</w:t>
            </w:r>
          </w:p>
        </w:tc>
        <w:tc>
          <w:tcPr>
            <w:tcW w:w="3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Предельные параметры в таблице 58. Водоотвод с крыш объектов должен осуществляться на земельный участок собственника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 w:eastAsia="ru-RU"/>
              </w:rPr>
              <w:t>Иные вспомогательные сооружения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Table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</w:tr>
    </w:tbl>
    <w:p w:rsidR="001D625F" w:rsidRDefault="007E79AE">
      <w:pPr>
        <w:pStyle w:val="a5"/>
        <w:widowControl w:val="0"/>
        <w:spacing w:after="0" w:line="100" w:lineRule="atLeast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3.Условно разрешенные виды использования</w:t>
      </w:r>
    </w:p>
    <w:p w:rsidR="001D625F" w:rsidRDefault="007E79AE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543"/>
        <w:gridCol w:w="3404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Default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Виды разрешенного использования земельных участков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5F" w:rsidRDefault="007E79AE">
            <w:pPr>
              <w:pStyle w:val="Default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Параметры </w:t>
            </w:r>
            <w:r>
              <w:rPr>
                <w:b/>
                <w:bCs/>
                <w:color w:val="00000A"/>
              </w:rPr>
              <w:t>разрешенного строительства и использования земельных участков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a8"/>
              <w:jc w:val="lef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Магазины (код 4.4)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5F" w:rsidRDefault="007E79AE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5F" w:rsidRDefault="007E79AE">
            <w:pPr>
              <w:pStyle w:val="Standard"/>
              <w:shd w:val="clear" w:color="auto" w:fill="FFFFFF"/>
              <w:tabs>
                <w:tab w:val="left" w:pos="428"/>
              </w:tabs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Ограничение торговой площади магазинов в сельской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застройке до 50 кв. м</w:t>
            </w:r>
          </w:p>
        </w:tc>
      </w:tr>
    </w:tbl>
    <w:p w:rsidR="001D625F" w:rsidRDefault="007E79AE">
      <w:pPr>
        <w:pStyle w:val="Standard"/>
        <w:widowControl w:val="0"/>
        <w:spacing w:after="0" w:line="240" w:lineRule="auto"/>
        <w:ind w:firstLine="357"/>
        <w:jc w:val="both"/>
        <w:rPr>
          <w:rFonts w:ascii="Times New Roman" w:eastAsia="Lucida Sans Unicode" w:hAnsi="Times New Roman"/>
          <w:b/>
          <w:sz w:val="26"/>
          <w:szCs w:val="26"/>
          <w:shd w:val="clear" w:color="auto" w:fill="FFFF00"/>
          <w:lang w:eastAsia="ru-RU"/>
        </w:rPr>
      </w:pPr>
      <w:r>
        <w:rPr>
          <w:rFonts w:ascii="Times New Roman" w:eastAsia="Lucida Sans Unicode" w:hAnsi="Times New Roman"/>
          <w:b/>
          <w:sz w:val="26"/>
          <w:szCs w:val="26"/>
          <w:shd w:val="clear" w:color="auto" w:fill="FFFF00"/>
          <w:lang w:eastAsia="ru-RU"/>
        </w:rPr>
        <w:t>Дополнительные нормируемые параметры использования земельных участков:</w:t>
      </w:r>
    </w:p>
    <w:p w:rsidR="001D625F" w:rsidRDefault="001D625F">
      <w:pPr>
        <w:pStyle w:val="Standard"/>
        <w:widowControl w:val="0"/>
        <w:spacing w:after="0" w:line="240" w:lineRule="auto"/>
        <w:ind w:firstLine="357"/>
        <w:jc w:val="both"/>
        <w:rPr>
          <w:rFonts w:ascii="Times New Roman" w:eastAsia="Lucida Sans Unicode" w:hAnsi="Times New Roman"/>
          <w:sz w:val="20"/>
          <w:szCs w:val="20"/>
          <w:lang w:eastAsia="ru-RU"/>
        </w:rPr>
      </w:pP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</w:pPr>
      <w:r>
        <w:rPr>
          <w:rFonts w:ascii="Times New Roman" w:eastAsia="ArialMT" w:hAnsi="Times New Roman"/>
          <w:sz w:val="26"/>
          <w:szCs w:val="26"/>
          <w:lang w:eastAsia="ru-RU"/>
        </w:rPr>
        <w:t>1)</w:t>
      </w:r>
      <w:r>
        <w:rPr>
          <w:rFonts w:ascii="Arial" w:eastAsia="ArialMT" w:hAnsi="Arial"/>
          <w:sz w:val="26"/>
          <w:szCs w:val="26"/>
          <w:lang w:eastAsia="ru-RU"/>
        </w:rPr>
        <w:t xml:space="preserve"> </w:t>
      </w:r>
      <w:r>
        <w:rPr>
          <w:rFonts w:ascii="Times New Roman" w:eastAsia="ArialMT" w:hAnsi="Times New Roman"/>
          <w:sz w:val="26"/>
          <w:szCs w:val="26"/>
          <w:lang w:eastAsia="ru-RU"/>
        </w:rPr>
        <w:t>При проектировании территории малоэтажной жилой застройки следует</w:t>
      </w:r>
      <w:r>
        <w:rPr>
          <w:rFonts w:ascii="Arial" w:eastAsia="ArialMT" w:hAnsi="Arial"/>
          <w:sz w:val="26"/>
          <w:szCs w:val="26"/>
          <w:lang w:eastAsia="ru-RU"/>
        </w:rPr>
        <w:t xml:space="preserve"> </w:t>
      </w:r>
      <w:r>
        <w:rPr>
          <w:rFonts w:ascii="Times New Roman" w:eastAsia="ArialMT" w:hAnsi="Times New Roman"/>
          <w:sz w:val="26"/>
          <w:szCs w:val="26"/>
          <w:lang w:eastAsia="ru-RU"/>
        </w:rPr>
        <w:t>принимать следующие расстояния: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внешних стен индивидуального или блокированного ж</w:t>
      </w:r>
      <w:r>
        <w:rPr>
          <w:rFonts w:ascii="Times New Roman" w:eastAsia="ArialMT" w:hAnsi="Times New Roman"/>
          <w:sz w:val="26"/>
          <w:szCs w:val="26"/>
          <w:lang w:eastAsia="ru-RU"/>
        </w:rPr>
        <w:t>илого дома до красной линии улицы следует принимать не менее 5 м (от красной линии проезда – не менее 3 м), до ограждения участка следует принимать не менее 4,5 м, со стороны вводов инженерных сетей при организации колодцев на территории участка – не менее</w:t>
      </w:r>
      <w:r>
        <w:rPr>
          <w:rFonts w:ascii="Times New Roman" w:eastAsia="ArialMT" w:hAnsi="Times New Roman"/>
          <w:sz w:val="26"/>
          <w:szCs w:val="26"/>
          <w:lang w:eastAsia="ru-RU"/>
        </w:rPr>
        <w:t xml:space="preserve"> 6 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края лесопаркового массива до границ ближних участков жилой застройки – не менее 30 м.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</w:pPr>
      <w:r>
        <w:rPr>
          <w:rFonts w:ascii="Times New Roman" w:eastAsia="ArialMT" w:hAnsi="Times New Roman"/>
          <w:sz w:val="26"/>
          <w:szCs w:val="26"/>
          <w:lang w:eastAsia="ru-RU"/>
        </w:rPr>
        <w:t>2)</w:t>
      </w:r>
      <w:r>
        <w:rPr>
          <w:rFonts w:ascii="Arial" w:eastAsia="ArialMT" w:hAnsi="Arial"/>
          <w:sz w:val="26"/>
          <w:szCs w:val="26"/>
          <w:lang w:eastAsia="ru-RU"/>
        </w:rPr>
        <w:t xml:space="preserve"> </w:t>
      </w:r>
      <w:r>
        <w:rPr>
          <w:rFonts w:ascii="Times New Roman" w:eastAsia="ArialMT" w:hAnsi="Times New Roman"/>
          <w:sz w:val="26"/>
          <w:szCs w:val="26"/>
          <w:lang w:eastAsia="ru-RU"/>
        </w:rPr>
        <w:t>До границы смежного земельного участка расстояния по санитарно-гигиеническим условиям и в зависимости от степени огнестойкости должны быть не менее: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и</w:t>
      </w:r>
      <w:r>
        <w:rPr>
          <w:rFonts w:ascii="Times New Roman" w:eastAsia="ArialMT" w:hAnsi="Times New Roman"/>
          <w:sz w:val="26"/>
          <w:szCs w:val="26"/>
          <w:lang w:eastAsia="ru-RU"/>
        </w:rPr>
        <w:t>ндивидуального и блокированного (двухквартирного) жилого дома – 3 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постройки для содержания скота и птицы – 4 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других построек (бани, автостоянки и др.) – 1 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стволов высокорослых деревьев – 4 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 xml:space="preserve">- от стволов среднерослых деревьев – 2 </w:t>
      </w:r>
      <w:r>
        <w:rPr>
          <w:rFonts w:ascii="Times New Roman" w:eastAsia="ArialMT" w:hAnsi="Times New Roman"/>
          <w:sz w:val="26"/>
          <w:szCs w:val="26"/>
          <w:lang w:eastAsia="ru-RU"/>
        </w:rPr>
        <w:t>м;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- от кустарника – 1 м.</w:t>
      </w:r>
    </w:p>
    <w:p w:rsidR="001D625F" w:rsidRDefault="007E79AE">
      <w:pPr>
        <w:pStyle w:val="Standard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>На территориях с застройкой индивидуальными жилыми домами или блокированными (двухквартирными) жилыми домами расстояние от окон жилых комнат до стен соседнего дома и хозяйственных построек (сарая, автостоянки, бани), расположенных</w:t>
      </w:r>
      <w:r>
        <w:rPr>
          <w:rFonts w:ascii="Times New Roman" w:eastAsia="ArialMT" w:hAnsi="Times New Roman"/>
          <w:sz w:val="26"/>
          <w:szCs w:val="26"/>
          <w:lang w:eastAsia="ru-RU"/>
        </w:rPr>
        <w:t xml:space="preserve"> на соседних земельных участках, должно быть не менее 6 м.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sz w:val="26"/>
          <w:szCs w:val="26"/>
          <w:lang w:eastAsia="ru-RU"/>
        </w:rPr>
        <w:t>3) Вид ограждения участка и его высота должны быть единообразными, как минимум, на протяжении одного квартала с обеих сторон улицы.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</w:pPr>
      <w:r>
        <w:rPr>
          <w:rFonts w:ascii="Times New Roman" w:eastAsia="Lucida Sans Unicode" w:hAnsi="Times New Roman"/>
          <w:sz w:val="26"/>
          <w:szCs w:val="26"/>
          <w:lang w:eastAsia="ru-RU"/>
        </w:rPr>
        <w:lastRenderedPageBreak/>
        <w:t xml:space="preserve">4) Содержание скота и птицы на приусадебных участках допускается 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только в районах усадебной застройки сельского типа с размером приусадебного участка не менее 0,1 га.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sz w:val="26"/>
          <w:szCs w:val="26"/>
          <w:lang w:eastAsia="ru-RU"/>
        </w:rPr>
        <w:t>5) Нахождение животных за пределами подворья без надзора запрещено. Владелец животных не должен допускать загрязнения навозом и пометом дворов и окружающе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й территории, а в случае загрязнения немедленно устранить его (убрать навоз и помет).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и помета Владелец обязан обеспечить его вывоз в специ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области.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both"/>
        <w:rPr>
          <w:rFonts w:ascii="Times New Roman" w:eastAsia="Lucida Sans Unicode" w:hAnsi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sz w:val="26"/>
          <w:szCs w:val="26"/>
          <w:lang w:eastAsia="ru-RU"/>
        </w:rPr>
        <w:t>6) При строительстве хозяйственных построек для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 xml:space="preserve"> содержания и разведения животных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таблице:</w:t>
      </w:r>
    </w:p>
    <w:p w:rsidR="001D625F" w:rsidRDefault="007E79AE">
      <w:pPr>
        <w:pStyle w:val="Standard"/>
        <w:widowControl w:val="0"/>
        <w:spacing w:after="0" w:line="240" w:lineRule="auto"/>
        <w:ind w:firstLine="357"/>
        <w:jc w:val="right"/>
      </w:pPr>
      <w:r>
        <w:rPr>
          <w:rFonts w:ascii="Times New Roman" w:eastAsia="Lucida Sans Unicode" w:hAnsi="Times New Roman"/>
          <w:sz w:val="24"/>
          <w:szCs w:val="24"/>
          <w:lang w:val="en-US" w:eastAsia="ru-RU"/>
        </w:rPr>
        <w:t xml:space="preserve">Таблица 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8</w:t>
      </w: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664"/>
        <w:gridCol w:w="497"/>
        <w:gridCol w:w="1500"/>
        <w:gridCol w:w="1067"/>
        <w:gridCol w:w="1231"/>
        <w:gridCol w:w="1017"/>
        <w:gridCol w:w="1360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</w:t>
            </w:r>
          </w:p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разрыв, не менее, метров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Поголовье, голов, не более</w:t>
            </w:r>
          </w:p>
        </w:tc>
        <w:tc>
          <w:tcPr>
            <w:tcW w:w="6672" w:type="dxa"/>
            <w:gridSpan w:val="6"/>
          </w:tcPr>
          <w:p w:rsidR="001D625F" w:rsidRDefault="001D625F">
            <w:pPr>
              <w:pStyle w:val="Standard"/>
            </w:pP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1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свиньи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крупный рогатый скот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овцы, 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козы</w:t>
            </w:r>
          </w:p>
        </w:tc>
        <w:tc>
          <w:tcPr>
            <w:tcW w:w="1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лошади</w:t>
            </w:r>
          </w:p>
        </w:tc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птица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маточное поголовье основного стада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1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E79AE"/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кролики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25F" w:rsidRDefault="007E79AE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6"/>
          <w:szCs w:val="26"/>
          <w:lang w:eastAsia="ru-RU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(ферм</w:t>
      </w:r>
      <w:r>
        <w:rPr>
          <w:rFonts w:ascii="Times New Roman" w:eastAsia="Lucida Sans Unicode" w:hAnsi="Times New Roman"/>
          <w:sz w:val="26"/>
          <w:szCs w:val="26"/>
          <w:lang w:eastAsia="ru-RU"/>
        </w:rPr>
        <w:t>ерского) хозяйства</w:t>
      </w:r>
      <w:r>
        <w:rPr>
          <w:rFonts w:ascii="Arial" w:hAnsi="Arial"/>
          <w:sz w:val="26"/>
          <w:szCs w:val="26"/>
        </w:rPr>
        <w:t>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На территории с застройкой индивидуальными и блокированными жилыми домами стоянки автомобилей следует размещать в пределах отведённого участка. Запрещается строительство стоянок для грузового транспорта и транспорта для перевозки люд</w:t>
      </w:r>
      <w:r>
        <w:rPr>
          <w:rFonts w:ascii="Times New Roman" w:hAnsi="Times New Roman"/>
          <w:sz w:val="26"/>
          <w:szCs w:val="26"/>
        </w:rPr>
        <w:t xml:space="preserve">ей, находящегося в личной собственности, кроме </w:t>
      </w:r>
      <w:r>
        <w:rPr>
          <w:rFonts w:ascii="Times New Roman" w:hAnsi="Times New Roman"/>
          <w:sz w:val="26"/>
          <w:szCs w:val="26"/>
        </w:rPr>
        <w:lastRenderedPageBreak/>
        <w:t>автотранспорта грузоподъемностью менее 1,5 тонн (п.90 Региональные нормативы Курганской области).</w:t>
      </w:r>
    </w:p>
    <w:p w:rsidR="001D625F" w:rsidRDefault="001D625F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D625F" w:rsidRDefault="001D625F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D625F" w:rsidRDefault="001D625F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D625F" w:rsidRDefault="001D625F">
      <w:pPr>
        <w:pStyle w:val="Standard"/>
        <w:widowControl w:val="0"/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9"/>
        <w:gridCol w:w="620"/>
        <w:gridCol w:w="511"/>
        <w:gridCol w:w="110"/>
        <w:gridCol w:w="620"/>
        <w:gridCol w:w="777"/>
        <w:gridCol w:w="620"/>
        <w:gridCol w:w="620"/>
        <w:gridCol w:w="625"/>
        <w:gridCol w:w="1239"/>
        <w:gridCol w:w="776"/>
        <w:gridCol w:w="776"/>
        <w:gridCol w:w="622"/>
        <w:gridCol w:w="786"/>
      </w:tblGrid>
      <w:tr w:rsidR="001D625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739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13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</w:r>
          </w:p>
        </w:tc>
        <w:tc>
          <w:tcPr>
            <w:tcW w:w="7571" w:type="dxa"/>
            <w:gridSpan w:val="11"/>
          </w:tcPr>
          <w:p w:rsidR="001D625F" w:rsidRDefault="001D625F">
            <w:pPr>
              <w:pStyle w:val="Standard"/>
            </w:pP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E79AE"/>
        </w:tc>
        <w:tc>
          <w:tcPr>
            <w:tcW w:w="73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E79AE"/>
        </w:tc>
        <w:tc>
          <w:tcPr>
            <w:tcW w:w="4503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4199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1D625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55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E79AE"/>
        </w:tc>
        <w:tc>
          <w:tcPr>
            <w:tcW w:w="73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7E79AE"/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621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Максимальная площадь земельных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участков, (га)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7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длина земельных участков, (м)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625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23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Минимальные отступы от границ зем-х участков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целях определе-ния мест допустимого размещения зданий, строений, сооружений,  (м)</w:t>
            </w:r>
          </w:p>
        </w:tc>
        <w:tc>
          <w:tcPr>
            <w:tcW w:w="77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 этажей зданий, строений, сооружений, (ед.)</w:t>
            </w:r>
          </w:p>
        </w:tc>
        <w:tc>
          <w:tcPr>
            <w:tcW w:w="77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622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даний, строений, сооружений (м.)</w:t>
            </w:r>
          </w:p>
        </w:tc>
        <w:tc>
          <w:tcPr>
            <w:tcW w:w="78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625F" w:rsidRDefault="007E79AE">
            <w:pPr>
              <w:pStyle w:val="Standard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5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1D625F">
            <w:pPr>
              <w:pStyle w:val="Standard"/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a7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Ж-1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625F" w:rsidRDefault="007E79A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</w:tbl>
    <w:p w:rsidR="001D625F" w:rsidRDefault="007E79AE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1D625F" w:rsidRDefault="007E79AE">
      <w:pPr>
        <w:pStyle w:val="Standard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1D625F" w:rsidRDefault="007E79AE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 xml:space="preserve">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1D625F" w:rsidRDefault="001D625F">
      <w:pPr>
        <w:pStyle w:val="4"/>
        <w:rPr>
          <w:color w:val="00000A"/>
          <w:sz w:val="24"/>
          <w:szCs w:val="24"/>
          <w:lang w:val="ru-RU"/>
        </w:rPr>
      </w:pPr>
      <w:bookmarkStart w:id="5" w:name="_Toc459116584"/>
    </w:p>
    <w:p w:rsidR="001D625F" w:rsidRDefault="007E79AE">
      <w:pPr>
        <w:pStyle w:val="4"/>
        <w:rPr>
          <w:color w:val="00000A"/>
          <w:sz w:val="24"/>
          <w:szCs w:val="24"/>
          <w:lang w:val="ru-RU"/>
        </w:rPr>
      </w:pPr>
      <w:r>
        <w:rPr>
          <w:color w:val="00000A"/>
          <w:sz w:val="24"/>
          <w:szCs w:val="24"/>
          <w:lang w:val="ru-RU"/>
        </w:rPr>
        <w:t>Статья 77. Градостроительные регламенты использования водоохранных зон и прибрежных защитных полос</w:t>
      </w:r>
      <w:bookmarkEnd w:id="5"/>
    </w:p>
    <w:p w:rsidR="001D625F" w:rsidRDefault="001D625F">
      <w:pPr>
        <w:pStyle w:val="4"/>
        <w:rPr>
          <w:color w:val="00000A"/>
          <w:sz w:val="24"/>
          <w:szCs w:val="24"/>
          <w:lang w:val="ru-RU"/>
        </w:rPr>
      </w:pPr>
      <w:bookmarkStart w:id="6" w:name="_Toc459116585"/>
    </w:p>
    <w:p w:rsidR="001D625F" w:rsidRDefault="007E79AE">
      <w:pPr>
        <w:pStyle w:val="4"/>
        <w:rPr>
          <w:color w:val="00000A"/>
          <w:sz w:val="24"/>
          <w:szCs w:val="24"/>
          <w:lang w:val="ru-RU"/>
        </w:rPr>
      </w:pPr>
      <w:r>
        <w:rPr>
          <w:color w:val="00000A"/>
          <w:sz w:val="24"/>
          <w:szCs w:val="24"/>
          <w:lang w:val="ru-RU"/>
        </w:rPr>
        <w:t>77.1. Правовое регулирование</w:t>
      </w:r>
      <w:bookmarkEnd w:id="6"/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Водный кодекс РФ </w:t>
      </w:r>
      <w:hyperlink r:id="rId14" w:history="1">
        <w:r>
          <w:rPr>
            <w:rFonts w:ascii="Times New Roman" w:hAnsi="Times New Roman"/>
            <w:sz w:val="24"/>
            <w:szCs w:val="24"/>
          </w:rPr>
          <w:t>(ст. 65)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>
          <w:rPr>
            <w:rFonts w:ascii="Times New Roman" w:hAnsi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10.01.2009 N 17 «Об утверждении Правил установления</w:t>
      </w:r>
      <w:r>
        <w:rPr>
          <w:rFonts w:ascii="Times New Roman" w:hAnsi="Times New Roman"/>
          <w:sz w:val="24"/>
          <w:szCs w:val="24"/>
        </w:rPr>
        <w:t xml:space="preserve"> на местности границ водоохранных зон и границ прибрежных защитных полос водных объектов»;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>
          <w:rPr>
            <w:rFonts w:ascii="Times New Roman" w:hAnsi="Times New Roman"/>
            <w:sz w:val="24"/>
            <w:szCs w:val="24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Минприроды РФ от 13.08.2009 N 249 «Об утверждени</w:t>
      </w:r>
      <w:r>
        <w:rPr>
          <w:rFonts w:ascii="Times New Roman" w:hAnsi="Times New Roman"/>
          <w:sz w:val="24"/>
          <w:szCs w:val="24"/>
        </w:rPr>
        <w:t>и образцов специальных информационных знаков для обозначения границ водоохранных зон и границ прибрежных защитных полос водных объектов»;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Лесной кодекс РФ </w:t>
      </w:r>
      <w:hyperlink r:id="rId17" w:history="1">
        <w:r>
          <w:rPr>
            <w:rFonts w:ascii="Times New Roman" w:hAnsi="Times New Roman"/>
            <w:sz w:val="24"/>
            <w:szCs w:val="24"/>
          </w:rPr>
          <w:t>(ст. 104)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>
          <w:rPr>
            <w:rFonts w:ascii="Times New Roman" w:hAnsi="Times New Roman"/>
            <w:sz w:val="24"/>
            <w:szCs w:val="24"/>
          </w:rPr>
          <w:t>Приказ</w:t>
        </w:r>
      </w:hyperlink>
      <w:r>
        <w:rPr>
          <w:rFonts w:ascii="Times New Roman" w:hAnsi="Times New Roman"/>
          <w:sz w:val="24"/>
          <w:szCs w:val="24"/>
        </w:rPr>
        <w:t xml:space="preserve"> Рослесхоза от 14.12.2010 N 485 «Об утверждении Особенностей использования, охраны, защиты, во</w:t>
      </w:r>
      <w:r>
        <w:rPr>
          <w:rFonts w:ascii="Times New Roman" w:hAnsi="Times New Roman"/>
          <w:sz w:val="24"/>
          <w:szCs w:val="24"/>
        </w:rPr>
        <w:t>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лесов».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Водоохранными зонами (ВЗ)</w:t>
      </w:r>
      <w:r>
        <w:rPr>
          <w:rFonts w:ascii="Times New Roman" w:hAnsi="Times New Roman"/>
          <w:sz w:val="24"/>
          <w:szCs w:val="24"/>
        </w:rPr>
        <w:t xml:space="preserve"> являются территории, которые пр</w:t>
      </w:r>
      <w:r>
        <w:rPr>
          <w:rFonts w:ascii="Times New Roman" w:hAnsi="Times New Roman"/>
          <w:sz w:val="24"/>
          <w:szCs w:val="24"/>
        </w:rPr>
        <w:t>имыкают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</w:t>
      </w:r>
      <w:r>
        <w:rPr>
          <w:rFonts w:ascii="Times New Roman" w:hAnsi="Times New Roman"/>
          <w:sz w:val="24"/>
          <w:szCs w:val="24"/>
        </w:rPr>
        <w:t xml:space="preserve"> также сохранения среды обитания водных биологических ресурсов и других объектов животного и растительного мира.  Водоохранная зона является неотъемлемой частью водного объекта, связана с ним территориально и функционально, составляет с ним единое целое ка</w:t>
      </w:r>
      <w:r>
        <w:rPr>
          <w:rFonts w:ascii="Times New Roman" w:hAnsi="Times New Roman"/>
          <w:sz w:val="24"/>
          <w:szCs w:val="24"/>
        </w:rPr>
        <w:t>к природный комплекс, обеспечивая сохранность водного объекта путём использования ВЗ в особом режиме.</w:t>
      </w:r>
    </w:p>
    <w:p w:rsidR="001D625F" w:rsidRDefault="007E79AE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границах водоохранных зон устанавливаются </w:t>
      </w:r>
      <w:r>
        <w:rPr>
          <w:rFonts w:ascii="Times New Roman" w:hAnsi="Times New Roman"/>
          <w:b/>
          <w:bCs/>
          <w:sz w:val="24"/>
          <w:szCs w:val="24"/>
        </w:rPr>
        <w:t>прибрежные защитные полосы,</w:t>
      </w:r>
      <w:r>
        <w:rPr>
          <w:rFonts w:ascii="Times New Roman" w:hAnsi="Times New Roman"/>
          <w:sz w:val="24"/>
          <w:szCs w:val="24"/>
        </w:rPr>
        <w:t xml:space="preserve"> на территориях которых вводятся дополнительные ограничения хозяйственной и иной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1D625F" w:rsidRDefault="007E79AE">
      <w:pPr>
        <w:pStyle w:val="4"/>
        <w:rPr>
          <w:color w:val="00000A"/>
          <w:sz w:val="24"/>
          <w:szCs w:val="24"/>
          <w:lang w:val="ru-RU"/>
        </w:rPr>
      </w:pPr>
      <w:bookmarkStart w:id="7" w:name="_Toc459116586"/>
      <w:r>
        <w:rPr>
          <w:color w:val="00000A"/>
          <w:sz w:val="24"/>
          <w:szCs w:val="24"/>
          <w:lang w:val="ru-RU"/>
        </w:rPr>
        <w:t>77.2. Правовой режим водоохранных зон и прибрежной защитной полосы.</w:t>
      </w:r>
      <w:bookmarkEnd w:id="7"/>
    </w:p>
    <w:p w:rsidR="001D625F" w:rsidRDefault="007E79AE">
      <w:pPr>
        <w:pStyle w:val="Standard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водоохранных зон запрещается:</w:t>
      </w:r>
    </w:p>
    <w:p w:rsidR="001D625F" w:rsidRDefault="007E79AE">
      <w:pPr>
        <w:pStyle w:val="Standard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1D625F" w:rsidRDefault="007E79AE">
      <w:pPr>
        <w:pStyle w:val="Standard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мест захоронения отходов</w:t>
      </w:r>
      <w:r>
        <w:rPr>
          <w:rFonts w:ascii="Times New Roman" w:hAnsi="Times New Roman"/>
          <w:sz w:val="24"/>
          <w:szCs w:val="24"/>
        </w:rPr>
        <w:t xml:space="preserve">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D625F" w:rsidRDefault="007E79AE">
      <w:pPr>
        <w:pStyle w:val="Standard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1D625F" w:rsidRDefault="007E79A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движение и стоянка транспортных средств (кроме </w:t>
      </w:r>
      <w:r>
        <w:rPr>
          <w:rFonts w:ascii="Times New Roman" w:hAnsi="Times New Roman"/>
          <w:sz w:val="24"/>
          <w:szCs w:val="24"/>
        </w:rPr>
        <w:t>специальных транспортных средств), за исключением их движения по дорогам и стоянки на дорогах и в специально.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оборудованных местах, имеющих твердое покрытие;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5) размещение автозаправочных станций, складов горюче-смазочных материалов, станций технического о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7) сброс сточных, в то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м числе дренажных, вод;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9" w:history="1">
        <w:r>
          <w:rPr>
            <w:rFonts w:ascii="Times New Roman" w:eastAsia="Lucida Sans Unicode" w:hAnsi="Times New Roman" w:cs="Tahoma"/>
            <w:sz w:val="24"/>
            <w:szCs w:val="24"/>
            <w:lang w:bidi="en-US"/>
          </w:rPr>
          <w:t>ст. 19.1</w:t>
        </w:r>
      </w:hyperlink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Закона Российской Федерации от 21 февраля 1992 года </w:t>
      </w:r>
      <w:r>
        <w:rPr>
          <w:rFonts w:ascii="Times New Roman" w:eastAsia="Lucida Sans Unicode" w:hAnsi="Times New Roman"/>
          <w:sz w:val="24"/>
          <w:szCs w:val="24"/>
          <w:lang w:val="en-US" w:bidi="en-US"/>
        </w:rPr>
        <w:t>N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2395-1 «О недрах»).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b/>
          <w:i/>
          <w:sz w:val="24"/>
          <w:szCs w:val="24"/>
          <w:lang w:bidi="en-US"/>
        </w:rPr>
        <w:t>В границах водоохранных зон допускается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проектирование, строительство, реконст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</w:t>
      </w:r>
      <w:hyperlink r:id="rId20" w:history="1">
        <w:r>
          <w:t>статьи</w:t>
        </w:r>
      </w:hyperlink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1) централизованные системы водоотведения (канализации), централизованные ливневые системы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водоотведения;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3) локальные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ющей среды;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bidi="en-US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цаемых материалов.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b/>
          <w:i/>
          <w:sz w:val="24"/>
          <w:szCs w:val="24"/>
          <w:lang w:bidi="en-US"/>
        </w:rPr>
        <w:t>В границах прибрежных защитных полос наряду с установленными ограничениями запрещаются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: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1) распашка земель;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2) размещение отвалов размываемых грунтов;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3) выпас сельскохозяйственных животных и организация для них летних лагерей, ванн.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Исп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ользование, охрана, защита, воспроизводство лесов, расположенных в водоохранных зонах, осуществляются в соответствии с лесным законодательством.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В соответствии со </w:t>
      </w:r>
      <w:hyperlink r:id="rId21" w:history="1">
        <w:r>
          <w:rPr>
            <w:rFonts w:ascii="Times New Roman" w:eastAsia="Lucida Sans Unicode" w:hAnsi="Times New Roman" w:cs="Tahoma"/>
            <w:sz w:val="24"/>
            <w:szCs w:val="24"/>
            <w:lang w:bidi="en-US"/>
          </w:rPr>
          <w:t>ст. 104</w:t>
        </w:r>
      </w:hyperlink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Лесного кодекса РФ в лесах, расположенных в водоохранных зонах, запрещаются: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- проведение сплошных рубок лесных насаждений, за исключением случаев, предусмотренных законом;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- использование токсичных химических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препаратов для охраны и защиты лесов, в том числе в научных целях;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- ведение сельского хозяйства, за исключением сенокошения и пчеловодства;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- создание и эксплуатация лесных плантаций;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/>
          <w:sz w:val="24"/>
          <w:szCs w:val="24"/>
          <w:lang w:bidi="en-US"/>
        </w:rPr>
        <w:t>- размещение объектов капитального строительства, за исключением линей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ных объектов, гидротехнических сооружений и объектов, связанных с выполнением работ по геологическому изучению и разработкой месторождений углеводородного сырья.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Приказом Рослесхоза от 14.12.2010 </w:t>
      </w:r>
      <w:r>
        <w:rPr>
          <w:rFonts w:ascii="Times New Roman" w:eastAsia="Lucida Sans Unicode" w:hAnsi="Times New Roman"/>
          <w:sz w:val="24"/>
          <w:szCs w:val="24"/>
          <w:lang w:val="en-US" w:bidi="en-US"/>
        </w:rPr>
        <w:t>N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485 утверждены </w:t>
      </w:r>
      <w:hyperlink r:id="rId22" w:history="1">
        <w:r>
          <w:t>Особенности</w:t>
        </w:r>
      </w:hyperlink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ых лесов, а также лесов, расположенных на особо защитных участках лесов.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sz w:val="24"/>
          <w:szCs w:val="24"/>
          <w:lang w:bidi="en-US"/>
        </w:rPr>
        <w:t>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ке, установленном Постановлением  Правительства Российской Федерации от 10.01.2009 </w:t>
      </w:r>
      <w:r>
        <w:rPr>
          <w:rFonts w:ascii="Times New Roman" w:eastAsia="Lucida Sans Unicode" w:hAnsi="Times New Roman"/>
          <w:sz w:val="24"/>
          <w:szCs w:val="24"/>
          <w:lang w:val="en-US" w:bidi="en-US"/>
        </w:rPr>
        <w:t>N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17.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b/>
          <w:bCs/>
          <w:i/>
          <w:sz w:val="24"/>
          <w:szCs w:val="24"/>
          <w:lang w:bidi="en-US"/>
        </w:rPr>
        <w:t xml:space="preserve">Установление границ. </w:t>
      </w:r>
      <w:r>
        <w:rPr>
          <w:rFonts w:ascii="Times New Roman" w:eastAsia="Lucida Sans Unicode" w:hAnsi="Times New Roman"/>
          <w:sz w:val="24"/>
          <w:szCs w:val="24"/>
          <w:lang w:bidi="en-US"/>
        </w:rPr>
        <w:t>Сведения о границах водоохранных зон и границах прибрежных защитных полос водных объектов, в том числе картографические материалы, в месячный срок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представляются в Федеральное агентство водных ресурсов для внесения их в государственный водный реестр в соответствии с Положением о ведении государственного водного реестра, утв. Постановлением Правительства РФ от 28.04.2007 </w:t>
      </w:r>
      <w:r>
        <w:rPr>
          <w:rFonts w:ascii="Times New Roman" w:eastAsia="Lucida Sans Unicode" w:hAnsi="Times New Roman"/>
          <w:sz w:val="24"/>
          <w:szCs w:val="24"/>
          <w:lang w:val="en-US" w:bidi="en-US"/>
        </w:rPr>
        <w:t>N</w:t>
      </w:r>
      <w:r>
        <w:rPr>
          <w:rFonts w:ascii="Times New Roman" w:eastAsia="Lucida Sans Unicode" w:hAnsi="Times New Roman"/>
          <w:sz w:val="24"/>
          <w:szCs w:val="24"/>
          <w:lang w:bidi="en-US"/>
        </w:rPr>
        <w:t xml:space="preserve"> 253.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i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i/>
          <w:sz w:val="24"/>
          <w:szCs w:val="24"/>
          <w:lang w:bidi="en-US"/>
        </w:rPr>
        <w:t xml:space="preserve">Собственники земель, </w:t>
      </w:r>
      <w:r>
        <w:rPr>
          <w:rFonts w:ascii="Times New Roman" w:eastAsia="Lucida Sans Unicode" w:hAnsi="Times New Roman"/>
          <w:b/>
          <w:i/>
          <w:sz w:val="24"/>
          <w:szCs w:val="24"/>
          <w:lang w:bidi="en-US"/>
        </w:rPr>
        <w:t>землевладельцы и землепользователи земельных участков, на землях которых находятся водоохранные зоны и прибрежные защитные полосы водных объектов, обеспечивают беспрепятственный доступ представителей органов государственной власти в целях осуществления раз</w:t>
      </w:r>
      <w:r>
        <w:rPr>
          <w:rFonts w:ascii="Times New Roman" w:eastAsia="Lucida Sans Unicode" w:hAnsi="Times New Roman"/>
          <w:b/>
          <w:i/>
          <w:sz w:val="24"/>
          <w:szCs w:val="24"/>
          <w:lang w:bidi="en-US"/>
        </w:rPr>
        <w:t>мещения на соответствующих земельных участках специальных информационных знаков и поддержания их в надлежащем состоянии.</w:t>
      </w:r>
    </w:p>
    <w:p w:rsidR="001D625F" w:rsidRDefault="007E79AE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Виды использования, требующие специального согласования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: проектирование, размещение, строительство, реконструкция, ввод объектов в эксп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луатацию, эксплуатация хозяйственных и других объектов при условии оборудования таких объектов 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lastRenderedPageBreak/>
        <w:t>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ласти охраны окружающей среды.</w:t>
      </w: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625F" w:rsidRDefault="007E79AE">
      <w:pPr>
        <w:pStyle w:val="Standard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траняется или для которого градостроительный регламент не устанавливается</w:t>
      </w:r>
    </w:p>
    <w:tbl>
      <w:tblPr>
        <w:tblW w:w="18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8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708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 Менщиковской сельской  Думы от 25.12.2012 г. № 33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18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708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Правил землепользования и  застройки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Менщиковского сельсовета Кетовского района  Курганской области»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18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708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 Менщиковской сельской  Думы от 12.04.2016 г. № 16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18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708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авила землепользования и  застройки  Менщиковского сельсовета Кетовского района  Курганской области»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18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  Менщиковской сельской  Думы от 28.11.2016 г. № 67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представительного органа местного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самоуправления,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Правила землепользования и  застройки  Менщиковского сельсовета Кетовского района  Курганской области»</w:t>
            </w:r>
          </w:p>
        </w:tc>
      </w:tr>
      <w:tr w:rsidR="001D625F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25F" w:rsidRDefault="007E79A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1D625F" w:rsidRDefault="001D625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5F" w:rsidRDefault="001D625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5F" w:rsidRDefault="007E79A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1D625F" w:rsidRDefault="007E79A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С.С. Влеско</w:t>
      </w:r>
    </w:p>
    <w:p w:rsidR="001D625F" w:rsidRDefault="001D625F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1D625F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D625F" w:rsidRDefault="007E79AE">
      <w:pPr>
        <w:pStyle w:val="Standard"/>
        <w:tabs>
          <w:tab w:val="left" w:pos="0"/>
          <w:tab w:val="left" w:pos="405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1D625F" w:rsidRDefault="007E79A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1D625F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AE" w:rsidRDefault="007E79AE">
      <w:r>
        <w:separator/>
      </w:r>
    </w:p>
  </w:endnote>
  <w:endnote w:type="continuationSeparator" w:id="0">
    <w:p w:rsidR="007E79AE" w:rsidRDefault="007E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AE" w:rsidRDefault="007E79AE">
      <w:r>
        <w:rPr>
          <w:color w:val="000000"/>
        </w:rPr>
        <w:separator/>
      </w:r>
    </w:p>
  </w:footnote>
  <w:footnote w:type="continuationSeparator" w:id="0">
    <w:p w:rsidR="007E79AE" w:rsidRDefault="007E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1D"/>
    <w:multiLevelType w:val="multilevel"/>
    <w:tmpl w:val="3C7A624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73F226A"/>
    <w:multiLevelType w:val="multilevel"/>
    <w:tmpl w:val="FE2C8F9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FDB795D"/>
    <w:multiLevelType w:val="multilevel"/>
    <w:tmpl w:val="49407672"/>
    <w:styleLink w:val="WWNum2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122257C1"/>
    <w:multiLevelType w:val="multilevel"/>
    <w:tmpl w:val="B448D008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370695C"/>
    <w:multiLevelType w:val="multilevel"/>
    <w:tmpl w:val="9184063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8453B7F"/>
    <w:multiLevelType w:val="multilevel"/>
    <w:tmpl w:val="6BFAD2CC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1002E93"/>
    <w:multiLevelType w:val="multilevel"/>
    <w:tmpl w:val="DC5C708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5B07754"/>
    <w:multiLevelType w:val="multilevel"/>
    <w:tmpl w:val="23FE52DE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D943735"/>
    <w:multiLevelType w:val="multilevel"/>
    <w:tmpl w:val="6E1224D6"/>
    <w:styleLink w:val="WWNum2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9">
    <w:nsid w:val="317C212F"/>
    <w:multiLevelType w:val="multilevel"/>
    <w:tmpl w:val="650CF0D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2577DA9"/>
    <w:multiLevelType w:val="multilevel"/>
    <w:tmpl w:val="055C0B4A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3284EC5"/>
    <w:multiLevelType w:val="multilevel"/>
    <w:tmpl w:val="2714B80C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887432B"/>
    <w:multiLevelType w:val="multilevel"/>
    <w:tmpl w:val="FAC06456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39DF5A4B"/>
    <w:multiLevelType w:val="multilevel"/>
    <w:tmpl w:val="91CE0246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3B3652EF"/>
    <w:multiLevelType w:val="multilevel"/>
    <w:tmpl w:val="AAEA6452"/>
    <w:styleLink w:val="WWNum2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">
    <w:nsid w:val="3C15303E"/>
    <w:multiLevelType w:val="multilevel"/>
    <w:tmpl w:val="05EC6714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3CC51C38"/>
    <w:multiLevelType w:val="multilevel"/>
    <w:tmpl w:val="AEB84E06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3D04093D"/>
    <w:multiLevelType w:val="multilevel"/>
    <w:tmpl w:val="49244114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E0202B0"/>
    <w:multiLevelType w:val="multilevel"/>
    <w:tmpl w:val="888E3602"/>
    <w:styleLink w:val="WWNum2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3E806D59"/>
    <w:multiLevelType w:val="multilevel"/>
    <w:tmpl w:val="6BA066C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499D4F52"/>
    <w:multiLevelType w:val="multilevel"/>
    <w:tmpl w:val="AA2C0B42"/>
    <w:styleLink w:val="WWNum2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562052FD"/>
    <w:multiLevelType w:val="multilevel"/>
    <w:tmpl w:val="D0DE5C8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DF72182"/>
    <w:multiLevelType w:val="multilevel"/>
    <w:tmpl w:val="6E4AA906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F133725"/>
    <w:multiLevelType w:val="multilevel"/>
    <w:tmpl w:val="A3464D8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5F81928"/>
    <w:multiLevelType w:val="multilevel"/>
    <w:tmpl w:val="89E8167A"/>
    <w:styleLink w:val="WWNum30"/>
    <w:lvl w:ilvl="0">
      <w:start w:val="1"/>
      <w:numFmt w:val="decimal"/>
      <w:lvlText w:val="%1."/>
      <w:lvlJc w:val="left"/>
      <w:rPr>
        <w:b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95771BA"/>
    <w:multiLevelType w:val="multilevel"/>
    <w:tmpl w:val="5C405F5E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95801AF"/>
    <w:multiLevelType w:val="multilevel"/>
    <w:tmpl w:val="6BBA467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A4A3804"/>
    <w:multiLevelType w:val="multilevel"/>
    <w:tmpl w:val="3DE846D8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7BD43B3D"/>
    <w:multiLevelType w:val="multilevel"/>
    <w:tmpl w:val="A3101D4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F7C06BB"/>
    <w:multiLevelType w:val="multilevel"/>
    <w:tmpl w:val="ED64DAE8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7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4"/>
  </w:num>
  <w:num w:numId="10">
    <w:abstractNumId w:val="22"/>
  </w:num>
  <w:num w:numId="11">
    <w:abstractNumId w:val="26"/>
  </w:num>
  <w:num w:numId="12">
    <w:abstractNumId w:val="10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27"/>
  </w:num>
  <w:num w:numId="18">
    <w:abstractNumId w:val="3"/>
  </w:num>
  <w:num w:numId="19">
    <w:abstractNumId w:val="16"/>
  </w:num>
  <w:num w:numId="20">
    <w:abstractNumId w:val="25"/>
  </w:num>
  <w:num w:numId="21">
    <w:abstractNumId w:val="29"/>
  </w:num>
  <w:num w:numId="22">
    <w:abstractNumId w:val="21"/>
  </w:num>
  <w:num w:numId="23">
    <w:abstractNumId w:val="28"/>
  </w:num>
  <w:num w:numId="24">
    <w:abstractNumId w:val="18"/>
  </w:num>
  <w:num w:numId="25">
    <w:abstractNumId w:val="8"/>
  </w:num>
  <w:num w:numId="26">
    <w:abstractNumId w:val="20"/>
  </w:num>
  <w:num w:numId="27">
    <w:abstractNumId w:val="2"/>
  </w:num>
  <w:num w:numId="28">
    <w:abstractNumId w:val="14"/>
  </w:num>
  <w:num w:numId="29">
    <w:abstractNumId w:val="1"/>
  </w:num>
  <w:num w:numId="30">
    <w:abstractNumId w:val="24"/>
  </w:num>
  <w:num w:numId="31">
    <w:abstractNumId w:val="9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25F"/>
    <w:rsid w:val="001D625F"/>
    <w:rsid w:val="007E79AE"/>
    <w:rsid w:val="008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6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">
    <w:name w:val="Table"/>
    <w:basedOn w:val="Standard"/>
    <w:pPr>
      <w:widowControl w:val="0"/>
      <w:spacing w:before="60" w:after="60"/>
      <w:jc w:val="both"/>
    </w:pPr>
    <w:rPr>
      <w:rFonts w:ascii="Arial" w:hAnsi="Arial"/>
      <w:sz w:val="20"/>
      <w:lang w:val="en-US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aa">
    <w:name w:val="Таблица Знак"/>
    <w:rPr>
      <w:rFonts w:ascii="Arial" w:hAnsi="Arial"/>
      <w:sz w:val="20"/>
      <w:lang w:val="en-US" w:eastAsia="en-US"/>
    </w:rPr>
  </w:style>
  <w:style w:type="character" w:customStyle="1" w:styleId="ab">
    <w:name w:val="Таблица ГП Знак"/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bCs/>
      <w:color w:val="000000"/>
      <w:kern w:val="3"/>
      <w:sz w:val="26"/>
      <w:szCs w:val="28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b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widowControl w:val="0"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6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">
    <w:name w:val="Table"/>
    <w:basedOn w:val="Standard"/>
    <w:pPr>
      <w:widowControl w:val="0"/>
      <w:spacing w:before="60" w:after="60"/>
      <w:jc w:val="both"/>
    </w:pPr>
    <w:rPr>
      <w:rFonts w:ascii="Arial" w:hAnsi="Arial"/>
      <w:sz w:val="20"/>
      <w:lang w:val="en-US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Таблица ГП"/>
    <w:basedOn w:val="Standard"/>
    <w:pPr>
      <w:spacing w:after="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aa">
    <w:name w:val="Таблица Знак"/>
    <w:rPr>
      <w:rFonts w:ascii="Arial" w:hAnsi="Arial"/>
      <w:sz w:val="20"/>
      <w:lang w:val="en-US" w:eastAsia="en-US"/>
    </w:rPr>
  </w:style>
  <w:style w:type="character" w:customStyle="1" w:styleId="ab">
    <w:name w:val="Таблица ГП Знак"/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bCs/>
      <w:color w:val="000000"/>
      <w:kern w:val="3"/>
      <w:sz w:val="26"/>
      <w:szCs w:val="28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b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#P284" TargetMode="External"/><Relationship Id="rId18" Type="http://schemas.openxmlformats.org/officeDocument/2006/relationships/hyperlink" Target="consultantplus://offline/ref=EC25DD0A6E7D08E0CB5059519B4C7CE972D2D3A2E58515E81B9A3553A2VEV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25DD0A6E7D08E0CB50475F9F4C7CE972D4DFA9EC8715E81B9A3553A2E1718058AA18B2B2DD6926V9VDG" TargetMode="External"/><Relationship Id="rId7" Type="http://schemas.openxmlformats.org/officeDocument/2006/relationships/endnotes" Target="endnotes.xml"/><Relationship Id="rId12" Type="http://schemas.openxmlformats.org/officeDocument/2006/relationships/hyperlink" Target="#P245" TargetMode="External"/><Relationship Id="rId17" Type="http://schemas.openxmlformats.org/officeDocument/2006/relationships/hyperlink" Target="consultantplus://offline/ref=EC25DD0A6E7D08E0CB50475F9F4C7CE972D4DFA9EC8715E81B9A3553A2E1718058AA18B2B2DC6E26V9V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25DD0A6E7D08E0CB5059519B4C7CE97AD0DCA8E78948E213C33951VAV5G" TargetMode="External"/><Relationship Id="rId20" Type="http://schemas.openxmlformats.org/officeDocument/2006/relationships/hyperlink" Target="consultantplus://offline/ref=EC25DD0A6E7D08E0CB50475F9F4C7CE972D4DEA9ED8A15E81B9A3553A2E1718058AA18B2B2DC6C20V9V5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19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25DD0A6E7D08E0CB50475F9F4C7CE97BD1DDA8E18948E213C33951VAV5G" TargetMode="External"/><Relationship Id="rId23" Type="http://schemas.openxmlformats.org/officeDocument/2006/relationships/fontTable" Target="fontTable.xml"/><Relationship Id="rId10" Type="http://schemas.openxmlformats.org/officeDocument/2006/relationships/hyperlink" Target="#P193" TargetMode="External"/><Relationship Id="rId19" Type="http://schemas.openxmlformats.org/officeDocument/2006/relationships/hyperlink" Target="consultantplus://offline/ref=EC25DD0A6E7D08E0CB50475F9F4C7CE972D7DDA1E08615E81B9A3553A2E1718058AA18B0VBV7G" TargetMode="External"/><Relationship Id="rId4" Type="http://schemas.openxmlformats.org/officeDocument/2006/relationships/settings" Target="settings.xml"/><Relationship Id="rId9" Type="http://schemas.openxmlformats.org/officeDocument/2006/relationships/hyperlink" Target="#P180" TargetMode="External"/><Relationship Id="rId14" Type="http://schemas.openxmlformats.org/officeDocument/2006/relationships/hyperlink" Target="consultantplus://offline/ref=EC25DD0A6E7D08E0CB50475F9F4C7CE972D4DEA9ED8A15E81B9A3553A2E1718058AA18B2B2DC6C20V9V5G" TargetMode="External"/><Relationship Id="rId22" Type="http://schemas.openxmlformats.org/officeDocument/2006/relationships/hyperlink" Target="consultantplus://offline/ref=EC25DD0A6E7D08E0CB5059519B4C7CE972D2D3A2E58515E81B9A3553A2E1718058AA18B2B2DC6927V9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2018-11-09T05:00:00Z</cp:lastPrinted>
  <dcterms:created xsi:type="dcterms:W3CDTF">2018-11-09T03:21:00Z</dcterms:created>
  <dcterms:modified xsi:type="dcterms:W3CDTF">2019-05-16T07:00:00Z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