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DC" w:rsidRDefault="00BF704E">
      <w:pPr>
        <w:pStyle w:val="Standard"/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629880" cy="3657240"/>
            <wp:effectExtent l="0" t="0" r="8670" b="360"/>
            <wp:wrapSquare wrapText="bothSides"/>
            <wp:docPr id="1" name="п. Светлые Полян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880" cy="365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1160" cy="219960"/>
            <wp:effectExtent l="0" t="0" r="0" b="8640"/>
            <wp:wrapSquare wrapText="bothSides"/>
            <wp:docPr id="2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60" cy="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1160" cy="219960"/>
            <wp:effectExtent l="0" t="0" r="0" b="8640"/>
            <wp:wrapSquare wrapText="bothSides"/>
            <wp:docPr id="3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60" cy="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1160" cy="219960"/>
            <wp:effectExtent l="0" t="0" r="0" b="8640"/>
            <wp:wrapSquare wrapText="bothSides"/>
            <wp:docPr id="4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60" cy="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1160" cy="219960"/>
            <wp:effectExtent l="0" t="0" r="0" b="0"/>
            <wp:wrapSquare wrapText="bothSides"/>
            <wp:docPr id="5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60" cy="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Приложение№3</w:t>
      </w:r>
    </w:p>
    <w:p w:rsidR="00B761DC" w:rsidRDefault="00BF704E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На запрос о предоставлении сведений из Правил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землепользования и застройки Светлополянского сельсовета Кетовского района Курганской области для земельного участка площадью 1304 кв.м., с кадастровым номером 45:08:031301:1115 расположенном по адресу: Курганская область, Кетовский район, п. Светлые Полян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ы, ул. Полевая, 27, сообщаем:</w:t>
      </w:r>
    </w:p>
    <w:p w:rsidR="00B761DC" w:rsidRDefault="00B761DC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761DC" w:rsidRDefault="00BF704E">
      <w:pPr>
        <w:pStyle w:val="Standard"/>
        <w:numPr>
          <w:ilvl w:val="0"/>
          <w:numId w:val="32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pacing w:val="-1"/>
          <w:lang w:eastAsia="ru-RU"/>
        </w:rPr>
        <w:t>Информация о градостроительном регламенте либо требованиях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</w:t>
      </w:r>
      <w:r>
        <w:rPr>
          <w:rFonts w:ascii="Times New Roman" w:eastAsia="Times New Roman" w:hAnsi="Times New Roman"/>
          <w:b/>
          <w:bCs/>
          <w:spacing w:val="-1"/>
          <w:lang w:eastAsia="ru-RU"/>
        </w:rPr>
        <w:t>ли для которого градостроительный регламент не устанавливается.</w:t>
      </w:r>
    </w:p>
    <w:p w:rsidR="00B761DC" w:rsidRDefault="00B761DC">
      <w:pPr>
        <w:pStyle w:val="Standard"/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pacing w:val="-1"/>
          <w:lang w:eastAsia="ru-RU"/>
        </w:rPr>
      </w:pPr>
    </w:p>
    <w:p w:rsidR="00B761DC" w:rsidRDefault="00BF704E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 градостроительный регламент.  </w:t>
      </w:r>
    </w:p>
    <w:p w:rsidR="00B761DC" w:rsidRDefault="00BF704E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находится в территориальной зоне Ж-1</w:t>
      </w:r>
    </w:p>
    <w:p w:rsidR="00B761DC" w:rsidRDefault="00B761DC">
      <w:pPr>
        <w:pStyle w:val="Standard"/>
        <w:spacing w:after="0" w:line="240" w:lineRule="auto"/>
        <w:ind w:firstLine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1DC" w:rsidRDefault="00BF704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 правил землепользования и застройки Светлополянского сельсовета Кетовского района Курганск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ой области:</w:t>
      </w:r>
    </w:p>
    <w:p w:rsidR="00B761DC" w:rsidRDefault="00B761DC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761DC" w:rsidRDefault="00BF704E">
      <w:pPr>
        <w:pStyle w:val="Standard"/>
        <w:keepNext/>
        <w:widowControl w:val="0"/>
        <w:tabs>
          <w:tab w:val="left" w:pos="0"/>
        </w:tabs>
        <w:spacing w:after="0" w:line="240" w:lineRule="auto"/>
        <w:jc w:val="center"/>
        <w:outlineLvl w:val="3"/>
      </w:pPr>
      <w:bookmarkStart w:id="1" w:name="_Toc466906068"/>
      <w:r>
        <w:rPr>
          <w:rFonts w:ascii="Times New Roman" w:eastAsia="Times New Roman" w:hAnsi="Times New Roman"/>
          <w:b/>
          <w:bCs/>
          <w:sz w:val="26"/>
          <w:szCs w:val="28"/>
          <w:lang w:bidi="en-US"/>
        </w:rPr>
        <w:t>67.1. Зона индивидуальной жилой застройки и  личного подсобного хозяйства (Ж-1)</w:t>
      </w:r>
      <w:bookmarkEnd w:id="1"/>
    </w:p>
    <w:p w:rsidR="00B761DC" w:rsidRDefault="00B761DC">
      <w:pPr>
        <w:pStyle w:val="Standard"/>
        <w:widowControl w:val="0"/>
        <w:spacing w:after="0" w:line="100" w:lineRule="atLeast"/>
        <w:ind w:firstLine="680"/>
        <w:rPr>
          <w:rFonts w:ascii="Times New Roman" w:eastAsia="Lucida Sans Unicode" w:hAnsi="Times New Roman" w:cs="Tahoma"/>
          <w:sz w:val="20"/>
          <w:szCs w:val="20"/>
          <w:lang w:bidi="en-US"/>
        </w:rPr>
      </w:pPr>
    </w:p>
    <w:p w:rsidR="00B761DC" w:rsidRDefault="00BF704E">
      <w:pPr>
        <w:pStyle w:val="Standard"/>
        <w:widowControl w:val="0"/>
        <w:numPr>
          <w:ilvl w:val="3"/>
          <w:numId w:val="9"/>
        </w:numPr>
        <w:spacing w:after="0" w:line="100" w:lineRule="atLeast"/>
      </w:pPr>
      <w:r>
        <w:rPr>
          <w:rFonts w:ascii="Times New Roman" w:eastAsia="Times New Roman" w:hAnsi="Times New Roman"/>
          <w:bCs/>
          <w:sz w:val="26"/>
          <w:szCs w:val="28"/>
          <w:lang w:bidi="en-US"/>
        </w:rPr>
        <w:t xml:space="preserve"> Основные виды разрешенного использования</w:t>
      </w:r>
    </w:p>
    <w:p w:rsidR="00B761DC" w:rsidRDefault="00BF704E">
      <w:pPr>
        <w:pStyle w:val="Standard"/>
        <w:widowControl w:val="0"/>
        <w:spacing w:after="0" w:line="100" w:lineRule="atLeast"/>
        <w:jc w:val="right"/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>Таблица 2</w:t>
      </w:r>
    </w:p>
    <w:tbl>
      <w:tblPr>
        <w:tblW w:w="978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3828"/>
        <w:gridCol w:w="3120"/>
      </w:tblGrid>
      <w:tr w:rsidR="00B761D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разрешенного использования земельных участков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ucida Sans Unicode" w:hAnsi="Times New Roman" w:cs="Tahoma"/>
                <w:b/>
                <w:sz w:val="24"/>
                <w:szCs w:val="24"/>
                <w:lang w:eastAsia="ru-RU" w:bidi="en-US"/>
              </w:rPr>
              <w:t xml:space="preserve">Содержание видов разрешенного использования земельных </w:t>
            </w:r>
            <w:r>
              <w:rPr>
                <w:rFonts w:ascii="Times New Roman" w:eastAsia="Lucida Sans Unicode" w:hAnsi="Times New Roman" w:cs="Tahoma"/>
                <w:b/>
                <w:sz w:val="24"/>
                <w:szCs w:val="24"/>
                <w:lang w:eastAsia="ru-RU" w:bidi="en-US"/>
              </w:rPr>
              <w:t>участков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DC" w:rsidRDefault="00BF70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Параметры разрешенного строительства и использования земельных участков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  <w:p w:rsidR="00B761DC" w:rsidRDefault="00BF70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(код 2.1)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t>Дом, пригодный для постоянного проживания, высотой не выше трех надземных этажей. Максимальный</w:t>
            </w:r>
            <w:r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t xml:space="preserve"> процент застройки земельного участка - 30%, другие параметры в таблице 51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(код 2.2)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Жилой дом, не предназначенный для раздела на квартиры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t>Дом, пригодный для постоянного проживания, высотой не выше трех надземных э</w:t>
            </w:r>
            <w:r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t>тажей. Максимальный процент застройки земельного участка - 30%, другие параметры в таблице 51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rPr>
          <w:trHeight w:val="2449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Блокированная жилая застройка</w:t>
            </w:r>
          </w:p>
          <w:p w:rsidR="00B761DC" w:rsidRDefault="00BF70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(код 2.3)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Блокированные жилые дома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Этажность – не выше 3-х надземных этажей включи-тельно. Блокированные двухквартирные жилые </w:t>
            </w: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дома, состоящие из двух блоков. </w:t>
            </w:r>
            <w:r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t>Максимальный процент застройки земельного участка - 30% на один блок, другие параметры в таблице 51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жилой застройки (код 2.7)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капитального строительства, размещение которых предусмотрено видами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разрешенного использования с </w:t>
            </w:r>
            <w:hyperlink r:id="rId11" w:history="1">
              <w:r>
                <w:t>кодами 3.1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(коммунальное обслу-живание), </w:t>
            </w:r>
            <w:hyperlink r:id="rId12" w:history="1">
              <w:r>
                <w:t>3.4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(здравоохранение), </w:t>
            </w:r>
            <w:hyperlink r:id="rId13" w:history="1">
              <w:r>
                <w:t>3.4.1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(амбулаторно-поликлиническое обслужи-вание), </w:t>
            </w:r>
            <w:hyperlink r:id="rId14" w:history="1">
              <w:r>
                <w:t>3.10.1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(амбулаторное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ветери-нарное обслуживание), </w:t>
            </w:r>
            <w:hyperlink r:id="rId15" w:history="1">
              <w:r>
                <w:t>4.7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(гостиничное обслуживание),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неудобства жителям, не требует установления санитарной зоны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Таблица 51, 52</w:t>
            </w:r>
          </w:p>
        </w:tc>
      </w:tr>
    </w:tbl>
    <w:p w:rsidR="00B761DC" w:rsidRDefault="00BF704E">
      <w:pPr>
        <w:pStyle w:val="Standard"/>
        <w:widowControl w:val="0"/>
        <w:spacing w:after="0" w:line="100" w:lineRule="atLeast"/>
        <w:jc w:val="both"/>
      </w:pPr>
      <w:r>
        <w:rPr>
          <w:rFonts w:ascii="Times New Roman" w:eastAsia="Lucida Sans Unicode" w:hAnsi="Times New Roman" w:cs="Tahoma"/>
          <w:lang w:bidi="en-US"/>
        </w:rPr>
        <w:t>* - В основных видах использования из разрешенных пунктом 3.3 Классификатора предусматривается только размещение бань для индивидуального пользования.</w:t>
      </w:r>
    </w:p>
    <w:p w:rsidR="00B761DC" w:rsidRDefault="00BF704E">
      <w:pPr>
        <w:pStyle w:val="Standard"/>
        <w:widowControl w:val="0"/>
        <w:spacing w:after="0" w:line="100" w:lineRule="atLeast"/>
        <w:jc w:val="both"/>
      </w:pPr>
      <w:r>
        <w:rPr>
          <w:rFonts w:ascii="Times New Roman" w:eastAsia="Lucida Sans Unicode" w:hAnsi="Times New Roman" w:cs="Tahoma"/>
          <w:sz w:val="20"/>
          <w:szCs w:val="20"/>
          <w:lang w:bidi="en-US"/>
        </w:rPr>
        <w:t xml:space="preserve"> </w:t>
      </w:r>
    </w:p>
    <w:p w:rsidR="00B761DC" w:rsidRDefault="00BF704E">
      <w:pPr>
        <w:pStyle w:val="Standard"/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629520" cy="3657600"/>
            <wp:effectExtent l="0" t="0" r="903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520" cy="3657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61DC" w:rsidRDefault="00BF704E">
      <w:pPr>
        <w:pStyle w:val="Standard"/>
        <w:spacing w:after="0" w:line="240" w:lineRule="auto"/>
        <w:ind w:left="4320" w:firstLine="720"/>
        <w:jc w:val="both"/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Размещение земельного уча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стка</w:t>
      </w:r>
    </w:p>
    <w:p w:rsidR="00B761DC" w:rsidRDefault="00B761DC">
      <w:pPr>
        <w:pStyle w:val="Standard"/>
        <w:spacing w:after="0" w:line="240" w:lineRule="auto"/>
        <w:ind w:left="4320" w:firstLine="72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B761DC" w:rsidRDefault="00BF704E">
      <w:pPr>
        <w:pStyle w:val="Standard"/>
        <w:widowControl w:val="0"/>
        <w:spacing w:after="0" w:line="100" w:lineRule="atLeast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>2.Вспомогательные виды разрешенного использования</w:t>
      </w:r>
    </w:p>
    <w:p w:rsidR="00B761DC" w:rsidRDefault="00BF704E">
      <w:pPr>
        <w:pStyle w:val="a5"/>
        <w:spacing w:after="0" w:line="240" w:lineRule="auto"/>
        <w:ind w:left="0"/>
        <w:jc w:val="right"/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978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3828"/>
        <w:gridCol w:w="3120"/>
      </w:tblGrid>
      <w:tr w:rsidR="00B761D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Standard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Параметры разрешенного строительства и использования земельных участков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a7"/>
              <w:jc w:val="left"/>
            </w:pPr>
            <w:r>
              <w:rPr>
                <w:rFonts w:eastAsia="Calibri"/>
                <w:lang w:eastAsia="en-US"/>
              </w:rPr>
              <w:t>Для</w:t>
            </w:r>
            <w:r>
              <w:rPr>
                <w:rFonts w:eastAsia="Calibri"/>
                <w:lang w:eastAsia="en-US"/>
              </w:rPr>
              <w:t xml:space="preserve"> индивидуального жилищного строительства</w:t>
            </w:r>
          </w:p>
          <w:p w:rsidR="00B761DC" w:rsidRDefault="00BF704E">
            <w:pPr>
              <w:pStyle w:val="a8"/>
              <w:jc w:val="left"/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(код 2.1)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Table"/>
              <w:spacing w:before="0"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 w:eastAsia="ru-RU"/>
              </w:rPr>
              <w:t>Индивидуальный гараж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Standard"/>
              <w:shd w:val="clear" w:color="auto" w:fill="FFFFFF"/>
              <w:tabs>
                <w:tab w:val="left" w:pos="428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Предельные параметры в таблице 52. Водоотвод с крыш объектов должен осуществляться на земельный участок собственника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F704E"/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Table"/>
              <w:spacing w:before="0"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 w:eastAsia="ru-RU"/>
              </w:rPr>
              <w:t>Подсобные сооружения</w:t>
            </w: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F704E"/>
        </w:tc>
      </w:tr>
      <w:tr w:rsidR="00B761DC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F704E"/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Table"/>
              <w:spacing w:before="0"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Выращивание плодовых, ягодных, овощных,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бахчевых или иных декоративных или сельскохозяйственных культур</w:t>
            </w: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F704E"/>
        </w:tc>
      </w:tr>
      <w:tr w:rsidR="00B761DC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Для ведения личного подсобного хозяйства (код 2.2)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Table"/>
              <w:spacing w:before="0"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 w:eastAsia="ru-RU"/>
              </w:rPr>
              <w:t>Гараж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Standard"/>
              <w:shd w:val="clear" w:color="auto" w:fill="FFFFFF"/>
              <w:tabs>
                <w:tab w:val="left" w:pos="428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Предельные параметры в таблице 52. Водоотвод с крыш объектов должен осуществляться на земельный участок собственника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F704E"/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Table"/>
              <w:spacing w:before="0"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 w:eastAsia="ru-RU"/>
              </w:rPr>
              <w:t xml:space="preserve">Иные </w:t>
            </w:r>
            <w:r>
              <w:rPr>
                <w:rFonts w:ascii="Times New Roman" w:eastAsia="Lucida Sans Unicode" w:hAnsi="Times New Roman"/>
                <w:sz w:val="24"/>
                <w:szCs w:val="24"/>
                <w:lang w:val="ru-RU" w:eastAsia="ru-RU"/>
              </w:rPr>
              <w:t>вспомогательные сооружения</w:t>
            </w: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F704E"/>
        </w:tc>
      </w:tr>
      <w:tr w:rsidR="00B761D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F704E"/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сельскохозяйственной продукции</w:t>
            </w: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F704E"/>
        </w:tc>
      </w:tr>
      <w:tr w:rsidR="00B761DC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F704E"/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F704E"/>
        </w:tc>
      </w:tr>
      <w:tr w:rsidR="00B761D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Блокированная жилая застройка</w:t>
            </w:r>
          </w:p>
          <w:p w:rsidR="00B761DC" w:rsidRDefault="00BF704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(код 2.3)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Table"/>
              <w:spacing w:before="0"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 w:eastAsia="ru-RU"/>
              </w:rPr>
              <w:t>Индивидуальный гараж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Standard"/>
              <w:shd w:val="clear" w:color="auto" w:fill="FFFFFF"/>
              <w:tabs>
                <w:tab w:val="left" w:pos="428"/>
              </w:tabs>
              <w:ind w:left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Предельные параметры в таблице 52. Водоотвод с крыш объектов должен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осуществляться на земельный участок собственника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F704E"/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Table"/>
              <w:spacing w:before="0"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 w:eastAsia="ru-RU"/>
              </w:rPr>
              <w:t>Иные вспомогательные сооружения</w:t>
            </w: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F704E"/>
        </w:tc>
      </w:tr>
      <w:tr w:rsidR="00B761D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F704E"/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Table"/>
              <w:spacing w:before="0"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Разведение декоративных и плодовых деревьев, овощных и ягодных культур</w:t>
            </w: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F704E"/>
        </w:tc>
      </w:tr>
    </w:tbl>
    <w:p w:rsidR="00B761DC" w:rsidRDefault="00B761DC">
      <w:pPr>
        <w:pStyle w:val="Standard"/>
        <w:rPr>
          <w:rFonts w:ascii="Times New Roman" w:hAnsi="Times New Roman"/>
          <w:sz w:val="24"/>
          <w:szCs w:val="24"/>
        </w:rPr>
      </w:pPr>
    </w:p>
    <w:p w:rsidR="00B761DC" w:rsidRDefault="00BF704E">
      <w:pPr>
        <w:pStyle w:val="Standard"/>
        <w:widowControl w:val="0"/>
        <w:spacing w:after="0" w:line="100" w:lineRule="atLeast"/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3. Условно разрешенные виды использования</w:t>
      </w:r>
    </w:p>
    <w:p w:rsidR="00B761DC" w:rsidRDefault="00BF704E">
      <w:pPr>
        <w:pStyle w:val="Standard"/>
        <w:jc w:val="right"/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978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3686"/>
        <w:gridCol w:w="3120"/>
      </w:tblGrid>
      <w:tr w:rsidR="00B761DC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Default"/>
              <w:jc w:val="center"/>
            </w:pPr>
            <w:r>
              <w:rPr>
                <w:b/>
                <w:bCs/>
                <w:color w:val="00000A"/>
              </w:rPr>
              <w:t xml:space="preserve">Виды разрешенного использования земельных </w:t>
            </w:r>
            <w:r>
              <w:rPr>
                <w:b/>
                <w:bCs/>
                <w:color w:val="00000A"/>
              </w:rPr>
              <w:t>участков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Standard"/>
              <w:spacing w:line="220" w:lineRule="exac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DC" w:rsidRDefault="00BF704E">
            <w:pPr>
              <w:pStyle w:val="Default"/>
              <w:jc w:val="center"/>
            </w:pPr>
            <w:r>
              <w:rPr>
                <w:b/>
                <w:bCs/>
                <w:color w:val="00000A"/>
              </w:rPr>
              <w:t>Параметры разрешенного строительства и использования земельных участков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1DC" w:rsidRDefault="00BF704E">
            <w:pPr>
              <w:pStyle w:val="a8"/>
              <w:jc w:val="left"/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Магазины (код 4.4)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DC" w:rsidRDefault="00BF704E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Объекты капитального строительства, предназначенные для продажи товаров, торговая площадь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которых составляет до 5000 кв. м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1DC" w:rsidRDefault="00BF704E">
            <w:pPr>
              <w:pStyle w:val="Standard"/>
              <w:shd w:val="clear" w:color="auto" w:fill="FFFFFF"/>
              <w:tabs>
                <w:tab w:val="left" w:pos="428"/>
              </w:tabs>
              <w:ind w:left="3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торговой площади магазинов в сельской жилой застройке до 50 кв. м</w:t>
            </w:r>
          </w:p>
        </w:tc>
      </w:tr>
    </w:tbl>
    <w:p w:rsidR="00B761DC" w:rsidRDefault="00B761DC">
      <w:pPr>
        <w:pStyle w:val="Standard"/>
        <w:widowControl w:val="0"/>
        <w:tabs>
          <w:tab w:val="left" w:pos="0"/>
        </w:tabs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1DC" w:rsidRDefault="00BF704E">
      <w:pPr>
        <w:pStyle w:val="Standard"/>
        <w:widowControl w:val="0"/>
        <w:tabs>
          <w:tab w:val="left" w:pos="0"/>
        </w:tabs>
        <w:spacing w:after="0" w:line="100" w:lineRule="atLeast"/>
        <w:jc w:val="right"/>
      </w:pPr>
      <w:r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57</w:t>
      </w:r>
    </w:p>
    <w:tbl>
      <w:tblPr>
        <w:tblW w:w="9923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737"/>
        <w:gridCol w:w="620"/>
        <w:gridCol w:w="311"/>
        <w:gridCol w:w="310"/>
        <w:gridCol w:w="621"/>
        <w:gridCol w:w="775"/>
        <w:gridCol w:w="621"/>
        <w:gridCol w:w="774"/>
        <w:gridCol w:w="468"/>
        <w:gridCol w:w="1238"/>
        <w:gridCol w:w="775"/>
        <w:gridCol w:w="775"/>
        <w:gridCol w:w="621"/>
        <w:gridCol w:w="775"/>
      </w:tblGrid>
      <w:tr w:rsidR="00B761DC">
        <w:tblPrEx>
          <w:tblCellMar>
            <w:top w:w="0" w:type="dxa"/>
            <w:bottom w:w="0" w:type="dxa"/>
          </w:tblCellMar>
        </w:tblPrEx>
        <w:trPr>
          <w:gridAfter w:val="11"/>
          <w:wAfter w:w="7082" w:type="dxa"/>
          <w:tblHeader/>
        </w:trPr>
        <w:tc>
          <w:tcPr>
            <w:tcW w:w="460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1DC" w:rsidRDefault="00BF704E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B761DC" w:rsidRDefault="00BF704E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674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1DC" w:rsidRDefault="00BF704E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Кодовое обозначение территориальных зон и видов разрешенного использования земельных участков</w:t>
            </w:r>
          </w:p>
        </w:tc>
        <w:tc>
          <w:tcPr>
            <w:tcW w:w="8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1DC" w:rsidRDefault="00BF704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Градостроительные регламенты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территориальных зон, функциональные зоны для которых градостроительные регламенты не устанавливаются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0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BF704E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BF704E"/>
        </w:tc>
        <w:tc>
          <w:tcPr>
            <w:tcW w:w="4110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1DC" w:rsidRDefault="00BF704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Предельные параметры земельных участков</w:t>
            </w:r>
          </w:p>
        </w:tc>
        <w:tc>
          <w:tcPr>
            <w:tcW w:w="3822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1DC" w:rsidRDefault="00B761D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61DC">
        <w:tblPrEx>
          <w:tblCellMar>
            <w:top w:w="0" w:type="dxa"/>
            <w:bottom w:w="0" w:type="dxa"/>
          </w:tblCellMar>
        </w:tblPrEx>
        <w:trPr>
          <w:cantSplit/>
          <w:trHeight w:val="2423"/>
          <w:tblHeader/>
        </w:trPr>
        <w:tc>
          <w:tcPr>
            <w:tcW w:w="460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BF704E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BF704E"/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61DC" w:rsidRDefault="00BF704E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площадь земельных участков, (га)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61DC" w:rsidRDefault="00BF704E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площадь земельных участков, (га)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61DC" w:rsidRDefault="00BF704E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Минимальная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ширина земельных участков,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61DC" w:rsidRDefault="00BF704E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ширина земельных участков, (м)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61DC" w:rsidRDefault="00BF704E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длина земельных участков, (м)</w:t>
            </w:r>
          </w:p>
        </w:tc>
        <w:tc>
          <w:tcPr>
            <w:tcW w:w="70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61DC" w:rsidRDefault="00BF704E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длина земельных участков, (м)</w:t>
            </w:r>
          </w:p>
        </w:tc>
        <w:tc>
          <w:tcPr>
            <w:tcW w:w="42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61DC" w:rsidRDefault="00BF704E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 делимости, (м)</w:t>
            </w:r>
          </w:p>
        </w:tc>
        <w:tc>
          <w:tcPr>
            <w:tcW w:w="1131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61DC" w:rsidRDefault="00BF704E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Минимальные отступы от границ зем-х участков в целях определе-ния мест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допустимого размещения зданий, строений, сооружений, 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61DC" w:rsidRDefault="00BF704E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Минимальное количество надземных этажей зданий, строений, сооружений, (ед.)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61DC" w:rsidRDefault="00BF704E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Максимальное количество надземных этажей зданий, строений, сооружений, (ед.)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61DC" w:rsidRDefault="00BF704E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высота зданий, строений, сооруже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 (м.)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61DC" w:rsidRDefault="00BF704E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Минимальный процент застройки в границах земельного участка*, (процент)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0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1DC" w:rsidRDefault="00B761DC">
            <w:pPr>
              <w:pStyle w:val="Standard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1DC" w:rsidRDefault="00BF704E">
            <w:pPr>
              <w:pStyle w:val="a7"/>
              <w:ind w:left="28" w:right="28"/>
              <w:jc w:val="center"/>
            </w:pPr>
            <w:r>
              <w:rPr>
                <w:b/>
                <w:sz w:val="16"/>
                <w:szCs w:val="16"/>
              </w:rPr>
              <w:t>Ж-1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1DC" w:rsidRDefault="00BF704E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1DC" w:rsidRDefault="00BF704E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1DC" w:rsidRDefault="00BF704E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1DC" w:rsidRDefault="00BF704E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1DC" w:rsidRDefault="00BF704E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1DC" w:rsidRDefault="00BF704E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1DC" w:rsidRDefault="00BF704E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1DC" w:rsidRDefault="00BF704E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1DC" w:rsidRDefault="00BF704E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1DC" w:rsidRDefault="00BF704E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1DC" w:rsidRDefault="00BF704E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1DC" w:rsidRDefault="00BF704E">
            <w:pPr>
              <w:pStyle w:val="Standard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</w:tbl>
    <w:p w:rsidR="00B761DC" w:rsidRDefault="00B761DC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61DC" w:rsidRDefault="00BF704E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Примечание.</w:t>
      </w:r>
    </w:p>
    <w:p w:rsidR="00B761DC" w:rsidRDefault="00BF704E">
      <w:pPr>
        <w:pStyle w:val="Standard"/>
        <w:numPr>
          <w:ilvl w:val="1"/>
          <w:numId w:val="11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* без учета эксплуатируемой кровли подземных, подвальных, цокольных частей объектов</w:t>
      </w:r>
    </w:p>
    <w:p w:rsidR="00B761DC" w:rsidRDefault="00BF704E">
      <w:pPr>
        <w:pStyle w:val="Standard"/>
        <w:numPr>
          <w:ilvl w:val="1"/>
          <w:numId w:val="11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GB" w:eastAsia="ru-RU"/>
        </w:rPr>
        <w:t>НПУ- не подлежат установлен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ию</w:t>
      </w:r>
    </w:p>
    <w:p w:rsidR="00B761DC" w:rsidRDefault="00B761DC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61DC" w:rsidRDefault="00BF704E">
      <w:pPr>
        <w:pStyle w:val="Standard"/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акта органа государственной власти субъекта Российской Федерации, органа местного самоуправления, содержащего градостроительный регламент либо реквизиты акта федерального органа государственной власти, органа государственной власти субъекта 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оссийской Федерации, органа местного самоуправления, иной организации, определяющего, в соответствии с федеральными законами, порядок использования земельного участка, на который действие градостроительного регламента не распространяется или для которого г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радостроительный регламент не устанавливается</w:t>
      </w:r>
    </w:p>
    <w:p w:rsidR="00B761DC" w:rsidRDefault="00B761DC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61DC" w:rsidRDefault="00BF704E">
      <w:pPr>
        <w:pStyle w:val="Standard"/>
        <w:keepNext/>
        <w:widowControl w:val="0"/>
        <w:tabs>
          <w:tab w:val="left" w:pos="0"/>
        </w:tabs>
        <w:spacing w:after="0" w:line="100" w:lineRule="atLeast"/>
        <w:jc w:val="center"/>
        <w:outlineLvl w:val="2"/>
      </w:pPr>
      <w:bookmarkStart w:id="2" w:name="_Toc466906127"/>
      <w:bookmarkStart w:id="3" w:name="_Toc336852991"/>
      <w:bookmarkStart w:id="4" w:name="_Toc312827187"/>
      <w:bookmarkStart w:id="5" w:name="_Toc300156243"/>
      <w:r>
        <w:rPr>
          <w:rFonts w:ascii="Times New Roman" w:eastAsia="Times New Roman" w:hAnsi="Times New Roman"/>
          <w:b/>
          <w:bCs/>
          <w:sz w:val="26"/>
          <w:szCs w:val="24"/>
          <w:lang w:bidi="en-US"/>
        </w:rPr>
        <w:t xml:space="preserve">Статья 84. Предельные величины размеров земельных участков объектов </w:t>
      </w:r>
      <w:r>
        <w:rPr>
          <w:rFonts w:ascii="Times New Roman" w:eastAsia="Times New Roman" w:hAnsi="Times New Roman"/>
          <w:b/>
          <w:bCs/>
          <w:sz w:val="26"/>
          <w:szCs w:val="24"/>
          <w:lang w:bidi="en-US"/>
        </w:rPr>
        <w:lastRenderedPageBreak/>
        <w:t>капитального строительства и территорий с назначенными видами разрешённого использования</w:t>
      </w:r>
      <w:bookmarkEnd w:id="2"/>
      <w:bookmarkEnd w:id="3"/>
      <w:bookmarkEnd w:id="4"/>
      <w:bookmarkEnd w:id="5"/>
    </w:p>
    <w:p w:rsidR="00B761DC" w:rsidRDefault="00B761DC">
      <w:pPr>
        <w:pStyle w:val="Standard"/>
        <w:widowControl w:val="0"/>
        <w:spacing w:after="0" w:line="100" w:lineRule="atLeast"/>
        <w:ind w:firstLine="680"/>
        <w:rPr>
          <w:rFonts w:ascii="Times New Roman" w:eastAsia="Lucida Sans Unicode" w:hAnsi="Times New Roman" w:cs="Tahoma"/>
          <w:sz w:val="20"/>
          <w:szCs w:val="20"/>
          <w:lang w:bidi="en-US"/>
        </w:rPr>
      </w:pPr>
    </w:p>
    <w:p w:rsidR="00B761DC" w:rsidRDefault="00BF704E">
      <w:pPr>
        <w:pStyle w:val="Standard"/>
        <w:widowControl w:val="0"/>
        <w:spacing w:after="0" w:line="100" w:lineRule="atLeast"/>
        <w:ind w:firstLine="851"/>
        <w:jc w:val="both"/>
      </w:pPr>
      <w:r>
        <w:rPr>
          <w:rFonts w:ascii="Times New Roman" w:eastAsia="Lucida Sans Unicode" w:hAnsi="Times New Roman" w:cs="Tahoma"/>
          <w:sz w:val="24"/>
          <w:szCs w:val="24"/>
          <w:lang w:bidi="en-US"/>
        </w:rPr>
        <w:t>Предельные минимальные и (или) максимальные размеры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земельных участков с указанием территориальной зоны, 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для конкретных объектов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</w:p>
    <w:p w:rsidR="00B761DC" w:rsidRDefault="00BF704E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Данные параметры соответствуют требованиям </w:t>
      </w:r>
      <w:r>
        <w:rPr>
          <w:rFonts w:ascii="Times New Roman" w:eastAsia="Lucida Sans Unicode" w:hAnsi="Times New Roman" w:cs="Tahoma"/>
          <w:bCs/>
          <w:iCs/>
          <w:sz w:val="24"/>
          <w:szCs w:val="24"/>
          <w:lang w:bidi="en-US"/>
        </w:rPr>
        <w:t xml:space="preserve">СП 42.13330.2011, 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>СП 30-102-99,  СНиП 31-06-2009,СанПиН 2.4.2.2821-10, СанПиН 2.4.1.2660-10, СНиП 21-02-99*, СанПиН 2.2.1/2.1.1.1200-0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>3, СанПиН 2.4.4.1204-03,СанПиН 2.4.3.1186-03, СанПиН 2.4.4.1251-03, СанПиН 42-125-4437-87, СанПиН 2.1.3.2630-10, региональных нормативов градостроительного проектирования Курганской области. Размеры земельных участков, не нормируемые строительными и санита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>рными нормами и правилами установлены по наиболее часто встречающимся случаям (***).</w:t>
      </w:r>
    </w:p>
    <w:p w:rsidR="00B761DC" w:rsidRDefault="00BF704E">
      <w:pPr>
        <w:pStyle w:val="Standard"/>
        <w:widowControl w:val="0"/>
        <w:spacing w:after="0" w:line="100" w:lineRule="atLeast"/>
        <w:ind w:firstLine="851"/>
        <w:jc w:val="right"/>
      </w:pPr>
      <w:r>
        <w:rPr>
          <w:rFonts w:ascii="Times New Roman" w:eastAsia="Lucida Sans Unicode" w:hAnsi="Times New Roman" w:cs="Tahoma"/>
          <w:sz w:val="24"/>
          <w:szCs w:val="24"/>
          <w:lang w:bidi="en-US"/>
        </w:rPr>
        <w:t>Таблица 52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559"/>
        <w:gridCol w:w="2693"/>
      </w:tblGrid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Cs w:val="24"/>
                <w:lang w:bidi="en-US"/>
              </w:rPr>
              <w:t xml:space="preserve">Учреждения, предприятия, сооружения, единица измерения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Cs w:val="24"/>
                <w:lang w:val="en-US" w:bidi="en-US"/>
              </w:rPr>
              <w:t>Размеры земельных участков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Cs w:val="24"/>
                <w:lang w:val="en-US" w:bidi="en-US"/>
              </w:rPr>
              <w:t>Территориальные зоны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Cs w:val="24"/>
                <w:lang w:val="en-US" w:bidi="en-US"/>
              </w:rPr>
              <w:t>Примечания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Cs w:val="24"/>
                <w:lang w:bidi="en-US"/>
              </w:rPr>
              <w:t xml:space="preserve">Объекты социальной, культурно-бытовой и </w:t>
            </w:r>
            <w:r>
              <w:rPr>
                <w:rFonts w:ascii="Times New Roman" w:eastAsia="Lucida Sans Unicode" w:hAnsi="Times New Roman" w:cs="Tahoma"/>
                <w:b/>
                <w:szCs w:val="24"/>
                <w:lang w:bidi="en-US"/>
              </w:rPr>
              <w:t>коммунальной инфраструктуры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 w:val="20"/>
                <w:szCs w:val="20"/>
                <w:lang w:bidi="en-US"/>
              </w:rPr>
              <w:t>Организации, учреждения, управления. Кредитно-финансовые учреждения.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Административно-хозяйственные, деловые и общественные учреждения и организации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Cs/>
                <w:sz w:val="20"/>
                <w:szCs w:val="20"/>
                <w:lang w:val="en-US" w:bidi="en-US"/>
              </w:rPr>
              <w:t>0,1 – 0,2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bCs/>
                <w:sz w:val="20"/>
                <w:szCs w:val="20"/>
                <w:lang w:bidi="en-US"/>
              </w:rPr>
              <w:t>ОД-1, ОД-2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30-102-99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Отделения связи,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объект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Cs/>
                <w:sz w:val="20"/>
                <w:szCs w:val="20"/>
                <w:lang w:val="en-US" w:bidi="en-US"/>
              </w:rPr>
              <w:t>0,1 – 0,2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ОД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30-102-99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Отделения и филиалы банков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(встроенно-пристроенные и отдельно стоящие)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Cs/>
                <w:sz w:val="20"/>
                <w:szCs w:val="20"/>
                <w:lang w:val="en-US" w:bidi="en-US"/>
              </w:rPr>
              <w:t>0,1 – 0,2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bCs/>
                <w:sz w:val="20"/>
                <w:szCs w:val="20"/>
                <w:lang w:bidi="en-US"/>
              </w:rPr>
              <w:t>ОД-1, ОД-2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30-102-99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Отделения, участковые пункты полиции (отдельно стоящие)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Cs/>
                <w:sz w:val="20"/>
                <w:szCs w:val="20"/>
                <w:lang w:val="en-US" w:bidi="en-US"/>
              </w:rPr>
              <w:t>0,05 – 0,15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bCs/>
                <w:sz w:val="20"/>
                <w:szCs w:val="20"/>
                <w:lang w:bidi="en-US"/>
              </w:rPr>
              <w:t>П-2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42.13330.2011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30-102-99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12-95,региональные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области.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bCs/>
                <w:sz w:val="20"/>
                <w:szCs w:val="20"/>
                <w:lang w:val="en-US" w:bidi="en-US"/>
              </w:rPr>
              <w:t>Учреждения народного образования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Детские дошкольные учреждения, место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Не менее 150 м2 при норме: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10 мест – 35м2х10 = 350м2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25 мест – 35м2х25 = 900м2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50 мест – 35м2х50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= 1800 м2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 СанПиН 2.4.1.2660-10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Общеобразовательные школы, учащиеся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50 мест – 50м2х50 = 2500 м2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200 мест – 50м2х200 = 10000м2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500 мест – 60м2х500 = 30000м2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СанПиН 2.4.2.2821-10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Внешкольные учреждения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500 - 1000м2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Учреждения среднего специального и профессионального образования без учебно-лабораторных и учебно-производственных корпусов и мастерских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до 300 мест -1,4-2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СанПиН 2.4.3.1186-03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Учреждения среднего специального и профессионального образования с учебно-лабораторными и учебно-производственными корпусами и мастерскими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до 300 мест -2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ОД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СанПиН 2.4.3.1186-03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bCs/>
                <w:sz w:val="20"/>
                <w:szCs w:val="20"/>
                <w:lang w:bidi="en-US"/>
              </w:rPr>
              <w:lastRenderedPageBreak/>
              <w:t>Учреждения здравоохранения, социального обеспечения, спортивные и физкул</w:t>
            </w:r>
            <w:r>
              <w:rPr>
                <w:rFonts w:ascii="Times New Roman" w:eastAsia="Lucida Sans Unicode" w:hAnsi="Times New Roman" w:cs="Tahoma"/>
                <w:b/>
                <w:bCs/>
                <w:sz w:val="20"/>
                <w:szCs w:val="20"/>
                <w:lang w:bidi="en-US"/>
              </w:rPr>
              <w:t>ьтурно-оздоровительные сооружения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Поликлиники, амбулатории,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Минимум 0,5га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ОД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42.13330.2011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СанПиН 2.1.3.2630-10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региональные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области.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Пункты скорой медицинской помощи,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0.05 - 0,1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Фельдшерские или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фельдшерско-акушерские пункты, общая врачебная практика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Аптеки (отдельно стоящие)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(код Классификатора 4.4 применительно)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0,2 – 0,4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Ж-1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 xml:space="preserve"> Ж-2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ОД-1, ОД-2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42.13330.2011, региональные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области.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Аптечные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киоски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0,08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Ж-1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 xml:space="preserve"> Ж-2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ОД-1, ОД-2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региональные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нормативы Курганской области.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Молочные кухни, (отдельно стоящие)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Туристские базы,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65-80 м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520" cy="220320"/>
                  <wp:effectExtent l="0" t="0" r="0" b="828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0" cy="2203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 на 1 место; 0,1 – 1,0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Р-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Центры обслуживания туристов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0,05-0,1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ОД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 xml:space="preserve">-1, 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Р-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Кемпинги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135-150 м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520" cy="220320"/>
                  <wp:effectExtent l="0" t="0" r="0" b="828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0" cy="2203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 на 1 место; 0,1 – 0,5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Р-1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, Р-3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Гостиницы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55 м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520" cy="220320"/>
                  <wp:effectExtent l="0" t="0" r="0" b="828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0" cy="2203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 на 1 место; 0,1 – 0,3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ОД-2, Р-3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Специальные учреждения социальной защиты: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761DC">
            <w:pPr>
              <w:pStyle w:val="Standard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761DC">
            <w:pPr>
              <w:pStyle w:val="Standard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761DC">
            <w:pPr>
              <w:pStyle w:val="Standard"/>
              <w:widowControl w:val="0"/>
              <w:spacing w:after="0" w:line="100" w:lineRule="atLeast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Центры социального обслуживания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населения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0,05 – 0,1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Физкультурно-спортивные сооружения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761DC">
            <w:pPr>
              <w:pStyle w:val="Standard"/>
              <w:widowControl w:val="0"/>
              <w:spacing w:after="0" w:line="100" w:lineRule="atLeast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761DC">
            <w:pPr>
              <w:pStyle w:val="Standard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761DC">
            <w:pPr>
              <w:pStyle w:val="Standard"/>
              <w:widowControl w:val="0"/>
              <w:spacing w:after="0" w:line="100" w:lineRule="atLeast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Стадионы (поля и площадки для спортивных игр)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0,7 - 0,9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Р-3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Универсальные спортивные залы общего пользования,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0,25 – 0,5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Р-3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761DC">
            <w:pPr>
              <w:pStyle w:val="Standard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  <w:p w:rsidR="00B761DC" w:rsidRDefault="00BF704E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СП 31-112-2004</w:t>
            </w:r>
          </w:p>
          <w:p w:rsidR="00B761DC" w:rsidRDefault="00B761DC">
            <w:pPr>
              <w:pStyle w:val="Standard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Тренажёрные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залы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 – 0,5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Ж-2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  <w:p w:rsidR="00B761DC" w:rsidRDefault="00BF704E">
            <w:pPr>
              <w:pStyle w:val="Standard"/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СП 31-112-2004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К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атки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0,02 – 0,2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Р-3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Хоккейные площадки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 – 0,2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Р-3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Теннисные корты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 – 0,2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Р-3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Детские и юношеские спортивные школы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0,2 – 0,5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Солярии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Лыжные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базы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0,05 – 0,1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Р-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bCs/>
                <w:sz w:val="20"/>
                <w:szCs w:val="20"/>
                <w:lang w:val="en-US" w:bidi="en-US"/>
              </w:rPr>
              <w:t>Учреждения культуры и искусства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Клубы и учреждения клубного типа; кинотеатры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0,2 – 0,5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42.13330.2011,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региональные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области.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Библиотеки (отдельно стоящие), архивы, информационные центры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0,05 – 0,1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ОД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Конфессиональные (культовые) объекты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0,02 – 0,3 га при норме до 7 м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520" cy="220320"/>
                  <wp:effectExtent l="0" t="0" r="0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0" cy="2203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 площади участка на единицу вместимости храма;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31-103-99, региональные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bCs/>
                <w:sz w:val="20"/>
                <w:szCs w:val="20"/>
                <w:lang w:bidi="en-US"/>
              </w:rPr>
              <w:t>Предприятия торговли, общественного питания и бытового обслуживания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lastRenderedPageBreak/>
              <w:t>Магазины, м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 торговой площади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до 50 м2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св 50 до 100 м2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св 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0,03 – 0,04 га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0,05 – 0,1 га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 – 0,3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Ж-1, Ж-2, ОД-1, ОД-2, П-1, П-2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42.13330.2011,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30-102-99, региональные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Открытые рынки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От 7 до 14 м2 на 1 м2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торговой площади рыночного комплекса в зависимости от вместимости: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14 м2 - при торговой площади до 600 м2,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7 м2 - св. 3000 м2, но не более ,025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ОД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-2, П-2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42.13330.2011, региональные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Временные торговые объекты: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торговые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павильоны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торговые киоски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0,02 – 0,1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Все территориальные зоны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М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ини-рынки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Предприятия общественного питания, столовые,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br/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кафе, закусочные, бары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до 50  пос.мест    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св. 50 до 150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761DC">
            <w:pPr>
              <w:pStyle w:val="Standard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</w:pPr>
          </w:p>
          <w:p w:rsidR="00B761DC" w:rsidRDefault="00B761DC">
            <w:pPr>
              <w:pStyle w:val="Standard"/>
              <w:widowControl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</w:pP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0,2-0,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5  га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0,2-0,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ОД-1, ОД-2, П-1, П-2,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42.13330.2011, региональные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Приёмные пункты  предприятий бытового обслуживания и предприятия бытового обслуживания (парикмахерские и т.д.) (отдельно стоящие) на 1 – 3 раб места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0,03 – 0,05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ОД-1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, ОД-2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Общественные бани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0,2-0,4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ОД-1, ОД-2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bCs/>
                <w:sz w:val="20"/>
                <w:szCs w:val="20"/>
                <w:lang w:val="en-US" w:bidi="en-US"/>
              </w:rPr>
              <w:t>Учреждения жилищно-коммунального хозяйства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Предприятия жилищно-коммунального хозяйства и обслуживающие компании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0,07 – 0,5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Пункт приема вторичного сырья, объект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0,01 га на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П-2,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 w:val="20"/>
                <w:szCs w:val="20"/>
                <w:lang w:val="en-US" w:bidi="en-US"/>
              </w:rPr>
              <w:t>Объекты ритуального назначения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Бюро похоронного обслуживания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 – 0,25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Кладбище традиционного захоронения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0,24 га на 1 тыс. чел. Но не менее 0,5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С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Н-1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 w:val="20"/>
                <w:szCs w:val="20"/>
                <w:lang w:bidi="en-US"/>
              </w:rPr>
              <w:t>Сооружения для хранения и обслуживания транспортных средств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Гаражи для хранения индивидуальных легковых автомобилей: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761DC">
            <w:pPr>
              <w:pStyle w:val="Standard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761DC">
            <w:pPr>
              <w:pStyle w:val="Standard"/>
              <w:widowControl w:val="0"/>
              <w:spacing w:after="0" w:line="100" w:lineRule="atLeast"/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761DC">
            <w:pPr>
              <w:pStyle w:val="Standard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</w:pP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Б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оксового типа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30 м2 на один бокс, но не более 0,075 га (25 боксов) на один блок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Ж-2, ОД-1, ОД-2, П-1, П-2, П-3</w:t>
            </w:r>
          </w:p>
          <w:p w:rsidR="00B761DC" w:rsidRDefault="00B761DC">
            <w:pPr>
              <w:pStyle w:val="Standard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Индивидуальные на придомовом участке на 1-2 легковых автомобиля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30м2 – 60м2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Ж-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1,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 xml:space="preserve"> Ж-2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Автостоянки для временного хранения индивидуальных легковых автомобилей открытые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25м2 на одно место, но не более 0,13 га (50 мест) на одну стоянку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Гаражи грузовых автомобилей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0,5 – 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П-1, П-2,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Автостоянки для временного хранения грузовых автомобилей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0,2 – 0,5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П-1, П-2,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Автозаправочные станции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 – 0,2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ОД-3, П-2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Авторемонтные и автосервисные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lastRenderedPageBreak/>
              <w:t>предприятия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lastRenderedPageBreak/>
              <w:t>0,1 – 0,5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ОД-3, П-2,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Не более 5 постов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lastRenderedPageBreak/>
              <w:t>Автомойки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0,05 – 0,1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ОД-3, П-2,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Не блее 2х постов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 w:val="20"/>
                <w:szCs w:val="20"/>
                <w:lang w:bidi="en-US"/>
              </w:rPr>
              <w:t>Прочие объекты и виды использования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0,3 – 1,0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Технический регламент по пожарной безопасности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Ветлечебницы без содержания животных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0,1 – 0,3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ОД-2, СХ-3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Ветлечебницы с содержанием животных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0,3 – 0,5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СХ-3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Cs w:val="24"/>
                <w:lang w:bidi="en-US"/>
              </w:rPr>
              <w:t>Производственные, коммунально-складские и инженерно-технические объекты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Строительная промышленность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Нормативный  размер  участка   промышленного   предприятия  принимается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равным отношению площади  его застройки  к показателю  нормативной плотности застройки площадок промышленных предприятий в соответствии со СНиП, но не менее 0,5 га; более 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П-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1, П-2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42.13330.2011,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региональные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области.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Обработка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 древесины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--//--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П-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1, П-2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42.13330.2011,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региональные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области.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Обработка пищевых продуктов и вкусовых веществ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--//--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П-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1, П-2,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42.13330.2011,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региональные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области.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Текстильные производства и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производства легкой промышленности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--//--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П-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42.13330.2011,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региональные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 w:val="20"/>
                <w:szCs w:val="20"/>
                <w:lang w:bidi="en-US"/>
              </w:rPr>
              <w:t>Объекты складского назначения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Оптовые базы и склады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размер  участка   складского объекта  принимается по инвестиционному предложению, но не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менее 0,5 га, не более 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П-2,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региональные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нормативы Курганской области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 w:val="20"/>
                <w:szCs w:val="20"/>
                <w:lang w:bidi="en-US"/>
              </w:rPr>
              <w:t>Здания управления и другие здания, сооружения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З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дания управления предприятий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 – 0,3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П-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1, П-2,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Cs w:val="24"/>
                <w:lang w:bidi="en-US"/>
              </w:rPr>
              <w:t>Объекты энергетики и инженерной инфраструктуры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Котельные и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энергоблоки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0,7 - 1,0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Скважины ХПВ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0,25 – 0,3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Станции водоподготовки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1 – 1,2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ИТ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Водонапорные башни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0,05 – 1,0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И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Трансформаторные подстанции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0,03 – 0,05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Теплопункты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0,03 – 0,05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ОД-1, ОД-2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Газораспределительные пункты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 – 0,2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Т-2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Газораспределительные станции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0,5 – 1,0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И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lastRenderedPageBreak/>
              <w:t>Очистные сооружения очистки ХБ стоков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0,2 – 0,5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СН-2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СП 42.13330.2011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 xml:space="preserve">Локальные очистные сооружения очистки ливневых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стоков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 – 0,2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И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Cs w:val="24"/>
                <w:lang w:bidi="en-US"/>
              </w:rPr>
              <w:t>Природно-рекреационные территории и объекты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Парки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1,0 – 2,0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Р-2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региональные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нормативы Курганской области.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Скверы, сады, бульвары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0,05 – 0,5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СП 42.13330.2011,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региональные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нормативы Курганской области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Городские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леса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лесопарки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Р-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Озеленение специального назначения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В соответствии с требованиями СаНПиН 2.2.1/2.1.1.1200-03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Р-2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Оборудованные места для пикников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0,01 – 0,02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Р-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Детские площадки, площадки для отдыха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0,01 – 0,05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Ж-1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 xml:space="preserve"> Ж-2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, ОД-3,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Р-1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 xml:space="preserve"> Р-2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, Р-3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Некапитальные вспомогательные строения и инфраструктура для отдыха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0,01 – 0,03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Р-1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 xml:space="preserve"> Р-2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, Р-3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Пункты проката спортивно-рекреационного инвентаря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0,02 – 0,05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Р-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Cs w:val="24"/>
                <w:lang w:bidi="en-US"/>
              </w:rPr>
              <w:t>Объекты, предназначенные для обеспечения функционирования и нормальной эксплуатации земельных участков и объектов капитального строительства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b/>
                <w:sz w:val="20"/>
                <w:szCs w:val="20"/>
                <w:lang w:bidi="en-US"/>
              </w:rPr>
              <w:t xml:space="preserve">Инженерно-технические </w:t>
            </w:r>
            <w:r>
              <w:rPr>
                <w:rFonts w:ascii="Times New Roman" w:eastAsia="Lucida Sans Unicode" w:hAnsi="Times New Roman" w:cs="Tahoma"/>
                <w:b/>
                <w:sz w:val="20"/>
                <w:szCs w:val="20"/>
                <w:lang w:bidi="en-US"/>
              </w:rPr>
              <w:t>объекты, сооружения и коммуникации (транспорт, связь и т.д.)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Улицы, дороги, иные пешеходно-транспортные коммуникации вне территорий общего пользования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размер  участка   принимается по инвестиционному предложению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Автоматические телефонные ста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нции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0,1- 0,3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П-1, П-2,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региональные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нормативы Курганской области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Антенны сотовой радиорелейной и спутниковой связи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0,1 – 0,3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П-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1, П-2,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региональные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нормативы Курганской области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Объекты пожарной охраны  (резервуары, пожарные водоемы)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 xml:space="preserve">0,1 –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0,3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Объекты благоустройства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761DC">
            <w:pPr>
              <w:pStyle w:val="Standard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761DC">
            <w:pPr>
              <w:pStyle w:val="Standard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761DC">
            <w:pPr>
              <w:pStyle w:val="Standard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Площадки для выгула собак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0,01 – 0,02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Ж-1, Ж-2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региональные</w:t>
            </w:r>
          </w:p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нормативы Курганской области.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Элементы благоустройства, малые архитектурные формы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---------------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761DC">
            <w:pPr>
              <w:pStyle w:val="Standard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Общественные туалеты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0,01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ОД-1, ОД-2, Р-2,    Р-3, П-1, П-2, П-3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Объекты санитарной очистки территории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761DC">
            <w:pPr>
              <w:pStyle w:val="Standard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761DC">
            <w:pPr>
              <w:pStyle w:val="Standard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761DC">
            <w:pPr>
              <w:pStyle w:val="Standard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val="en-US" w:bidi="en-US"/>
              </w:rPr>
            </w:pP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Площадки для мусорных контейнеров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0,003 - 0,005 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bidi="en-US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761DC" w:rsidRDefault="00BF704E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val="en-US" w:bidi="en-US"/>
              </w:rPr>
              <w:t>***</w:t>
            </w: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B761DC" w:rsidRDefault="00B761D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61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tbl>
            <w:tblPr>
              <w:tblW w:w="1020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05"/>
            </w:tblGrid>
            <w:tr w:rsidR="00B761DC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10205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761DC" w:rsidRDefault="00BF704E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Решение  Светлополянской сельской  Думы от 10.12.2012 г. № 127</w:t>
                  </w:r>
                </w:p>
              </w:tc>
            </w:tr>
            <w:tr w:rsidR="00B761D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2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761DC" w:rsidRDefault="00BF704E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(наименование представительного органа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местного самоуправления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,</w:t>
                  </w:r>
                </w:p>
              </w:tc>
            </w:tr>
            <w:tr w:rsidR="00B761DC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10205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761DC" w:rsidRDefault="00BF704E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«Об утверждении Правил землепользования и  застройки  Светлополянского сельсовета Кетовского района  Курганской области»</w:t>
                  </w:r>
                </w:p>
              </w:tc>
            </w:tr>
            <w:tr w:rsidR="00B761D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2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761DC" w:rsidRDefault="00BF704E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реквизиты акта об утверждении правил)</w:t>
                  </w:r>
                </w:p>
              </w:tc>
            </w:tr>
            <w:tr w:rsidR="00B761D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2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1020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5"/>
                  </w:tblGrid>
                  <w:tr w:rsidR="00B761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10205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B761DC" w:rsidRDefault="00BF704E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Решение  Светлополянской сельской  Думы от 16.11.2016 г. № 84</w:t>
                        </w:r>
                      </w:p>
                    </w:tc>
                  </w:tr>
                  <w:tr w:rsidR="00B761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02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B761DC" w:rsidRDefault="00BF704E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(наим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енование представительного органа местного самоуправления,</w:t>
                        </w:r>
                      </w:p>
                    </w:tc>
                  </w:tr>
                  <w:tr w:rsidR="00B761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10205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B761DC" w:rsidRDefault="00BF704E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lastRenderedPageBreak/>
                          <w:t>«О внесении изменений в  Правила землепользования и  застройки  Светлополянского сельсовета Кетовского района  Курганской области»</w:t>
                        </w:r>
                      </w:p>
                    </w:tc>
                  </w:tr>
                  <w:tr w:rsidR="00B761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02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B761DC" w:rsidRDefault="00BF704E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реквизиты акта об утверждении правил)</w:t>
                        </w:r>
                      </w:p>
                    </w:tc>
                  </w:tr>
                </w:tbl>
                <w:p w:rsidR="00B761DC" w:rsidRDefault="00B761DC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B761DC" w:rsidRDefault="00B761D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61DC" w:rsidRDefault="00B761DC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1DC" w:rsidRDefault="00B761DC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1DC" w:rsidRDefault="00B761DC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1DC" w:rsidRDefault="00BF704E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</w:t>
      </w:r>
    </w:p>
    <w:p w:rsidR="00B761DC" w:rsidRDefault="00BF704E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архитектуры и градостроительства                                                                           С.С. Влеско</w:t>
      </w:r>
    </w:p>
    <w:p w:rsidR="00B761DC" w:rsidRDefault="00B761DC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1DC" w:rsidRDefault="00B761DC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1DC" w:rsidRDefault="00B761DC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1DC" w:rsidRDefault="00B761DC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1DC" w:rsidRDefault="00BF704E">
      <w:pPr>
        <w:pStyle w:val="Standard"/>
        <w:tabs>
          <w:tab w:val="left" w:pos="4050"/>
        </w:tabs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Белобородова О.С.</w:t>
      </w:r>
    </w:p>
    <w:p w:rsidR="00B761DC" w:rsidRDefault="00BF704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(35231)2-37-17</w:t>
      </w:r>
    </w:p>
    <w:sectPr w:rsidR="00B761DC">
      <w:pgSz w:w="11906" w:h="16838"/>
      <w:pgMar w:top="993" w:right="85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4E" w:rsidRDefault="00BF704E">
      <w:r>
        <w:separator/>
      </w:r>
    </w:p>
  </w:endnote>
  <w:endnote w:type="continuationSeparator" w:id="0">
    <w:p w:rsidR="00BF704E" w:rsidRDefault="00BF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4E" w:rsidRDefault="00BF704E">
      <w:r>
        <w:rPr>
          <w:color w:val="000000"/>
        </w:rPr>
        <w:separator/>
      </w:r>
    </w:p>
  </w:footnote>
  <w:footnote w:type="continuationSeparator" w:id="0">
    <w:p w:rsidR="00BF704E" w:rsidRDefault="00BF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7E4"/>
    <w:multiLevelType w:val="multilevel"/>
    <w:tmpl w:val="2D265604"/>
    <w:styleLink w:val="WWNum21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F0C6EF0"/>
    <w:multiLevelType w:val="multilevel"/>
    <w:tmpl w:val="8CA662B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F8F094F"/>
    <w:multiLevelType w:val="multilevel"/>
    <w:tmpl w:val="766462A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  <w:sz w:val="26"/>
        <w:szCs w:val="26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ADF250D"/>
    <w:multiLevelType w:val="multilevel"/>
    <w:tmpl w:val="3470100C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E1E12D7"/>
    <w:multiLevelType w:val="multilevel"/>
    <w:tmpl w:val="E17A96FA"/>
    <w:styleLink w:val="WWNum25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cs="OpenSymbol"/>
        <w:sz w:val="20"/>
        <w:szCs w:val="24"/>
      </w:rPr>
    </w:lvl>
    <w:lvl w:ilvl="2">
      <w:numFmt w:val="bullet"/>
      <w:lvlText w:val=""/>
      <w:lvlJc w:val="left"/>
      <w:rPr>
        <w:rFonts w:cs="OpenSymbol"/>
        <w:sz w:val="20"/>
        <w:szCs w:val="24"/>
      </w:rPr>
    </w:lvl>
    <w:lvl w:ilvl="3">
      <w:numFmt w:val="bullet"/>
      <w:lvlText w:val=""/>
      <w:lvlJc w:val="left"/>
      <w:rPr>
        <w:rFonts w:cs="OpenSymbol"/>
        <w:sz w:val="20"/>
        <w:szCs w:val="24"/>
      </w:rPr>
    </w:lvl>
    <w:lvl w:ilvl="4">
      <w:numFmt w:val="bullet"/>
      <w:lvlText w:val=""/>
      <w:lvlJc w:val="left"/>
      <w:rPr>
        <w:rFonts w:cs="OpenSymbol"/>
        <w:sz w:val="20"/>
        <w:szCs w:val="24"/>
      </w:rPr>
    </w:lvl>
    <w:lvl w:ilvl="5">
      <w:numFmt w:val="bullet"/>
      <w:lvlText w:val=""/>
      <w:lvlJc w:val="left"/>
      <w:rPr>
        <w:rFonts w:cs="OpenSymbol"/>
        <w:sz w:val="20"/>
        <w:szCs w:val="24"/>
      </w:rPr>
    </w:lvl>
    <w:lvl w:ilvl="6">
      <w:numFmt w:val="bullet"/>
      <w:lvlText w:val=""/>
      <w:lvlJc w:val="left"/>
      <w:rPr>
        <w:rFonts w:cs="OpenSymbol"/>
        <w:sz w:val="20"/>
        <w:szCs w:val="24"/>
      </w:rPr>
    </w:lvl>
    <w:lvl w:ilvl="7">
      <w:numFmt w:val="bullet"/>
      <w:lvlText w:val=""/>
      <w:lvlJc w:val="left"/>
      <w:rPr>
        <w:rFonts w:cs="OpenSymbol"/>
        <w:sz w:val="20"/>
        <w:szCs w:val="24"/>
      </w:rPr>
    </w:lvl>
    <w:lvl w:ilvl="8">
      <w:numFmt w:val="bullet"/>
      <w:lvlText w:val=""/>
      <w:lvlJc w:val="left"/>
      <w:rPr>
        <w:rFonts w:cs="OpenSymbol"/>
        <w:sz w:val="20"/>
        <w:szCs w:val="24"/>
      </w:rPr>
    </w:lvl>
  </w:abstractNum>
  <w:abstractNum w:abstractNumId="5">
    <w:nsid w:val="1F610FD6"/>
    <w:multiLevelType w:val="multilevel"/>
    <w:tmpl w:val="5DAC10BE"/>
    <w:styleLink w:val="WWNum28"/>
    <w:lvl w:ilvl="0">
      <w:numFmt w:val="bullet"/>
      <w:lvlText w:val=""/>
      <w:lvlJc w:val="left"/>
      <w:rPr>
        <w:rFonts w:cs="OpenSymbol"/>
        <w:sz w:val="20"/>
        <w:szCs w:val="24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  <w:sz w:val="20"/>
        <w:szCs w:val="24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  <w:sz w:val="20"/>
        <w:szCs w:val="24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6">
    <w:nsid w:val="22F07FF9"/>
    <w:multiLevelType w:val="multilevel"/>
    <w:tmpl w:val="7160D4E8"/>
    <w:styleLink w:val="WWNum13"/>
    <w:lvl w:ilvl="0">
      <w:numFmt w:val="bullet"/>
      <w:lvlText w:val="в"/>
      <w:lvlJc w:val="left"/>
    </w:lvl>
    <w:lvl w:ilvl="1">
      <w:start w:val="7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25EE5F67"/>
    <w:multiLevelType w:val="multilevel"/>
    <w:tmpl w:val="640236BA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rPr>
        <w:rFonts w:eastAsia="Times New Roman" w:cs="Times New Roman"/>
        <w:spacing w:val="-8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299C0D14"/>
    <w:multiLevelType w:val="multilevel"/>
    <w:tmpl w:val="BD085984"/>
    <w:styleLink w:val="WWNum22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2DF66C27"/>
    <w:multiLevelType w:val="multilevel"/>
    <w:tmpl w:val="A8A6601C"/>
    <w:styleLink w:val="WWNum26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cs="OpenSymbol"/>
      </w:rPr>
    </w:lvl>
    <w:lvl w:ilvl="2">
      <w:numFmt w:val="bullet"/>
      <w:lvlText w:val=""/>
      <w:lvlJc w:val="left"/>
      <w:rPr>
        <w:rFonts w:cs="OpenSymbol"/>
      </w:rPr>
    </w:lvl>
    <w:lvl w:ilvl="3">
      <w:numFmt w:val="bullet"/>
      <w:lvlText w:val=""/>
      <w:lvlJc w:val="left"/>
      <w:rPr>
        <w:rFonts w:cs="OpenSymbol"/>
      </w:rPr>
    </w:lvl>
    <w:lvl w:ilvl="4">
      <w:numFmt w:val="bullet"/>
      <w:lvlText w:val=""/>
      <w:lvlJc w:val="left"/>
      <w:rPr>
        <w:rFonts w:cs="OpenSymbol"/>
      </w:rPr>
    </w:lvl>
    <w:lvl w:ilvl="5">
      <w:numFmt w:val="bullet"/>
      <w:lvlText w:val=""/>
      <w:lvlJc w:val="left"/>
      <w:rPr>
        <w:rFonts w:cs="OpenSymbol"/>
      </w:rPr>
    </w:lvl>
    <w:lvl w:ilvl="6">
      <w:numFmt w:val="bullet"/>
      <w:lvlText w:val=""/>
      <w:lvlJc w:val="left"/>
      <w:rPr>
        <w:rFonts w:cs="OpenSymbol"/>
      </w:rPr>
    </w:lvl>
    <w:lvl w:ilvl="7">
      <w:numFmt w:val="bullet"/>
      <w:lvlText w:val=""/>
      <w:lvlJc w:val="left"/>
      <w:rPr>
        <w:rFonts w:cs="OpenSymbol"/>
      </w:rPr>
    </w:lvl>
    <w:lvl w:ilvl="8">
      <w:numFmt w:val="bullet"/>
      <w:lvlText w:val=""/>
      <w:lvlJc w:val="left"/>
      <w:rPr>
        <w:rFonts w:cs="OpenSymbol"/>
      </w:rPr>
    </w:lvl>
  </w:abstractNum>
  <w:abstractNum w:abstractNumId="10">
    <w:nsid w:val="3195620F"/>
    <w:multiLevelType w:val="multilevel"/>
    <w:tmpl w:val="3A7E677A"/>
    <w:styleLink w:val="WWNum19"/>
    <w:lvl w:ilvl="0">
      <w:start w:val="1"/>
      <w:numFmt w:val="decimal"/>
      <w:lvlText w:val="%1)"/>
      <w:lvlJc w:val="left"/>
      <w:rPr>
        <w:rFonts w:eastAsia="Times New Roman" w:cs="Times New Roman"/>
        <w:spacing w:val="-4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3D4838D1"/>
    <w:multiLevelType w:val="multilevel"/>
    <w:tmpl w:val="F0AA37BA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2701766"/>
    <w:multiLevelType w:val="multilevel"/>
    <w:tmpl w:val="D2F46A1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42725107"/>
    <w:multiLevelType w:val="multilevel"/>
    <w:tmpl w:val="88941412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spacing w:val="-8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43F134A6"/>
    <w:multiLevelType w:val="multilevel"/>
    <w:tmpl w:val="0054D9D2"/>
    <w:styleLink w:val="WWNum29"/>
    <w:lvl w:ilvl="0">
      <w:numFmt w:val="bullet"/>
      <w:lvlText w:val=""/>
      <w:lvlJc w:val="left"/>
      <w:rPr>
        <w:rFonts w:cs="OpenSymbol"/>
        <w:sz w:val="20"/>
        <w:szCs w:val="24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  <w:sz w:val="20"/>
        <w:szCs w:val="24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  <w:sz w:val="20"/>
        <w:szCs w:val="24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15">
    <w:nsid w:val="44675631"/>
    <w:multiLevelType w:val="multilevel"/>
    <w:tmpl w:val="DA5A2C14"/>
    <w:styleLink w:val="WWNum23"/>
    <w:lvl w:ilvl="0">
      <w:numFmt w:val="bullet"/>
      <w:lvlText w:val="-"/>
      <w:lvlJc w:val="left"/>
      <w:rPr>
        <w:rFonts w:eastAsia="Times New Roman" w:cs="Times New Roman"/>
        <w:spacing w:val="-6"/>
        <w:w w:val="100"/>
        <w:sz w:val="24"/>
      </w:rPr>
    </w:lvl>
    <w:lvl w:ilvl="1">
      <w:numFmt w:val="bullet"/>
      <w:lvlText w:val="-"/>
      <w:lvlJc w:val="left"/>
      <w:rPr>
        <w:rFonts w:eastAsia="Times New Roman" w:cs="Times New Roman"/>
        <w:spacing w:val="-1"/>
        <w:w w:val="10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4B204B0A"/>
    <w:multiLevelType w:val="multilevel"/>
    <w:tmpl w:val="E8C451A2"/>
    <w:styleLink w:val="WWNum8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FAC33C4"/>
    <w:multiLevelType w:val="multilevel"/>
    <w:tmpl w:val="624C93A2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515278A4"/>
    <w:multiLevelType w:val="multilevel"/>
    <w:tmpl w:val="E74E633E"/>
    <w:styleLink w:val="WWNum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54D12AC0"/>
    <w:multiLevelType w:val="multilevel"/>
    <w:tmpl w:val="6FEAEBD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7E3569B"/>
    <w:multiLevelType w:val="multilevel"/>
    <w:tmpl w:val="9244E890"/>
    <w:styleLink w:val="WWNum17"/>
    <w:lvl w:ilvl="0">
      <w:numFmt w:val="bullet"/>
      <w:lvlText w:val="-"/>
      <w:lvlJc w:val="left"/>
      <w:rPr>
        <w:rFonts w:eastAsia="Times New Roman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58544BEE"/>
    <w:multiLevelType w:val="multilevel"/>
    <w:tmpl w:val="55DAFFF2"/>
    <w:styleLink w:val="WWNum16"/>
    <w:lvl w:ilvl="0">
      <w:start w:val="1"/>
      <w:numFmt w:val="decimal"/>
      <w:lvlText w:val="%1."/>
      <w:lvlJc w:val="left"/>
      <w:rPr>
        <w:rFonts w:eastAsia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5C3F26EE"/>
    <w:multiLevelType w:val="multilevel"/>
    <w:tmpl w:val="4810FF0C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  <w:sz w:val="26"/>
        <w:szCs w:val="26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65FE0090"/>
    <w:multiLevelType w:val="multilevel"/>
    <w:tmpl w:val="6262DD72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4">
    <w:nsid w:val="6AB03B82"/>
    <w:multiLevelType w:val="multilevel"/>
    <w:tmpl w:val="6C1AACF6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6C0D0B55"/>
    <w:multiLevelType w:val="multilevel"/>
    <w:tmpl w:val="D8409DF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6C2F1937"/>
    <w:multiLevelType w:val="multilevel"/>
    <w:tmpl w:val="1FE62A2E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6EFF0B7D"/>
    <w:multiLevelType w:val="multilevel"/>
    <w:tmpl w:val="D15EA476"/>
    <w:styleLink w:val="WWNum30"/>
    <w:lvl w:ilvl="0">
      <w:numFmt w:val="bullet"/>
      <w:lvlText w:val="–"/>
      <w:lvlJc w:val="left"/>
      <w:rPr>
        <w:rFonts w:cs="OpenSymbol"/>
        <w:sz w:val="24"/>
        <w:szCs w:val="29"/>
      </w:rPr>
    </w:lvl>
    <w:lvl w:ilvl="1">
      <w:numFmt w:val="bullet"/>
      <w:lvlText w:val="–"/>
      <w:lvlJc w:val="left"/>
      <w:rPr>
        <w:rFonts w:cs="OpenSymbol"/>
        <w:sz w:val="24"/>
        <w:szCs w:val="29"/>
      </w:rPr>
    </w:lvl>
    <w:lvl w:ilvl="2">
      <w:numFmt w:val="bullet"/>
      <w:lvlText w:val="–"/>
      <w:lvlJc w:val="left"/>
      <w:rPr>
        <w:rFonts w:cs="OpenSymbol"/>
        <w:sz w:val="24"/>
        <w:szCs w:val="29"/>
      </w:rPr>
    </w:lvl>
    <w:lvl w:ilvl="3">
      <w:numFmt w:val="bullet"/>
      <w:lvlText w:val="–"/>
      <w:lvlJc w:val="left"/>
      <w:rPr>
        <w:rFonts w:cs="OpenSymbol"/>
        <w:sz w:val="24"/>
        <w:szCs w:val="29"/>
      </w:rPr>
    </w:lvl>
    <w:lvl w:ilvl="4">
      <w:numFmt w:val="bullet"/>
      <w:lvlText w:val="–"/>
      <w:lvlJc w:val="left"/>
      <w:rPr>
        <w:rFonts w:cs="OpenSymbol"/>
        <w:sz w:val="24"/>
        <w:szCs w:val="29"/>
      </w:rPr>
    </w:lvl>
    <w:lvl w:ilvl="5">
      <w:numFmt w:val="bullet"/>
      <w:lvlText w:val="–"/>
      <w:lvlJc w:val="left"/>
      <w:rPr>
        <w:rFonts w:cs="OpenSymbol"/>
        <w:sz w:val="24"/>
        <w:szCs w:val="29"/>
      </w:rPr>
    </w:lvl>
    <w:lvl w:ilvl="6">
      <w:numFmt w:val="bullet"/>
      <w:lvlText w:val="–"/>
      <w:lvlJc w:val="left"/>
      <w:rPr>
        <w:rFonts w:cs="OpenSymbol"/>
        <w:sz w:val="24"/>
        <w:szCs w:val="29"/>
      </w:rPr>
    </w:lvl>
    <w:lvl w:ilvl="7">
      <w:numFmt w:val="bullet"/>
      <w:lvlText w:val="–"/>
      <w:lvlJc w:val="left"/>
      <w:rPr>
        <w:rFonts w:cs="OpenSymbol"/>
        <w:sz w:val="24"/>
        <w:szCs w:val="29"/>
      </w:rPr>
    </w:lvl>
    <w:lvl w:ilvl="8">
      <w:numFmt w:val="bullet"/>
      <w:lvlText w:val="–"/>
      <w:lvlJc w:val="left"/>
      <w:rPr>
        <w:rFonts w:cs="OpenSymbol"/>
        <w:sz w:val="24"/>
        <w:szCs w:val="29"/>
      </w:rPr>
    </w:lvl>
  </w:abstractNum>
  <w:abstractNum w:abstractNumId="28">
    <w:nsid w:val="74F51D23"/>
    <w:multiLevelType w:val="multilevel"/>
    <w:tmpl w:val="E7146F06"/>
    <w:styleLink w:val="WWNum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>
    <w:nsid w:val="780F32EF"/>
    <w:multiLevelType w:val="multilevel"/>
    <w:tmpl w:val="898069CA"/>
    <w:styleLink w:val="WWNum10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7A4C02E7"/>
    <w:multiLevelType w:val="multilevel"/>
    <w:tmpl w:val="1C2038A6"/>
    <w:styleLink w:val="WWNum15"/>
    <w:lvl w:ilvl="0">
      <w:start w:val="1"/>
      <w:numFmt w:val="decimal"/>
      <w:lvlText w:val="%1)"/>
      <w:lvlJc w:val="left"/>
      <w:rPr>
        <w:rFonts w:eastAsia="Times New Roman" w:cs="Times New Roman"/>
        <w:spacing w:val="-17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24"/>
  </w:num>
  <w:num w:numId="3">
    <w:abstractNumId w:val="23"/>
  </w:num>
  <w:num w:numId="4">
    <w:abstractNumId w:val="28"/>
  </w:num>
  <w:num w:numId="5">
    <w:abstractNumId w:val="18"/>
  </w:num>
  <w:num w:numId="6">
    <w:abstractNumId w:val="26"/>
  </w:num>
  <w:num w:numId="7">
    <w:abstractNumId w:val="19"/>
  </w:num>
  <w:num w:numId="8">
    <w:abstractNumId w:val="16"/>
  </w:num>
  <w:num w:numId="9">
    <w:abstractNumId w:val="2"/>
  </w:num>
  <w:num w:numId="10">
    <w:abstractNumId w:val="29"/>
  </w:num>
  <w:num w:numId="11">
    <w:abstractNumId w:val="25"/>
  </w:num>
  <w:num w:numId="12">
    <w:abstractNumId w:val="17"/>
  </w:num>
  <w:num w:numId="13">
    <w:abstractNumId w:val="6"/>
  </w:num>
  <w:num w:numId="14">
    <w:abstractNumId w:val="7"/>
  </w:num>
  <w:num w:numId="15">
    <w:abstractNumId w:val="30"/>
  </w:num>
  <w:num w:numId="16">
    <w:abstractNumId w:val="21"/>
  </w:num>
  <w:num w:numId="17">
    <w:abstractNumId w:val="20"/>
  </w:num>
  <w:num w:numId="18">
    <w:abstractNumId w:val="13"/>
  </w:num>
  <w:num w:numId="19">
    <w:abstractNumId w:val="10"/>
  </w:num>
  <w:num w:numId="20">
    <w:abstractNumId w:val="3"/>
  </w:num>
  <w:num w:numId="21">
    <w:abstractNumId w:val="0"/>
  </w:num>
  <w:num w:numId="22">
    <w:abstractNumId w:val="8"/>
  </w:num>
  <w:num w:numId="23">
    <w:abstractNumId w:val="15"/>
  </w:num>
  <w:num w:numId="24">
    <w:abstractNumId w:val="12"/>
  </w:num>
  <w:num w:numId="25">
    <w:abstractNumId w:val="4"/>
  </w:num>
  <w:num w:numId="26">
    <w:abstractNumId w:val="9"/>
  </w:num>
  <w:num w:numId="27">
    <w:abstractNumId w:val="11"/>
  </w:num>
  <w:num w:numId="28">
    <w:abstractNumId w:val="5"/>
  </w:num>
  <w:num w:numId="29">
    <w:abstractNumId w:val="14"/>
  </w:num>
  <w:num w:numId="30">
    <w:abstractNumId w:val="27"/>
  </w:num>
  <w:num w:numId="31">
    <w:abstractNumId w:val="22"/>
  </w:num>
  <w:num w:numId="32">
    <w:abstractNumId w:val="19"/>
    <w:lvlOverride w:ilvl="0">
      <w:startOverride w:val="1"/>
    </w:lvlOverride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61DC"/>
    <w:rsid w:val="00732D1D"/>
    <w:rsid w:val="00B761DC"/>
    <w:rsid w:val="00B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Table">
    <w:name w:val="Table"/>
    <w:basedOn w:val="Standard"/>
    <w:pPr>
      <w:widowControl w:val="0"/>
      <w:spacing w:before="60" w:after="60"/>
      <w:jc w:val="both"/>
    </w:pPr>
    <w:rPr>
      <w:rFonts w:ascii="Arial" w:hAnsi="Arial"/>
      <w:sz w:val="20"/>
      <w:lang w:val="en-US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Таблица ГП"/>
    <w:basedOn w:val="Standard"/>
    <w:pPr>
      <w:spacing w:after="0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9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aa">
    <w:name w:val="Таблица Знак"/>
    <w:rPr>
      <w:rFonts w:ascii="Arial" w:hAnsi="Arial"/>
      <w:sz w:val="20"/>
      <w:lang w:val="en-US" w:eastAsia="en-US"/>
    </w:rPr>
  </w:style>
  <w:style w:type="character" w:customStyle="1" w:styleId="ab">
    <w:name w:val="Таблица ГП Знак"/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character" w:customStyle="1" w:styleId="ListLabel15">
    <w:name w:val="ListLabel 15"/>
    <w:rPr>
      <w:rFonts w:cs="OpenSymbol"/>
      <w:sz w:val="20"/>
      <w:szCs w:val="24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  <w:sz w:val="24"/>
      <w:szCs w:val="29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Table">
    <w:name w:val="Table"/>
    <w:basedOn w:val="Standard"/>
    <w:pPr>
      <w:widowControl w:val="0"/>
      <w:spacing w:before="60" w:after="60"/>
      <w:jc w:val="both"/>
    </w:pPr>
    <w:rPr>
      <w:rFonts w:ascii="Arial" w:hAnsi="Arial"/>
      <w:sz w:val="20"/>
      <w:lang w:val="en-US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Таблица ГП"/>
    <w:basedOn w:val="Standard"/>
    <w:pPr>
      <w:spacing w:after="0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9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aa">
    <w:name w:val="Таблица Знак"/>
    <w:rPr>
      <w:rFonts w:ascii="Arial" w:hAnsi="Arial"/>
      <w:sz w:val="20"/>
      <w:lang w:val="en-US" w:eastAsia="en-US"/>
    </w:rPr>
  </w:style>
  <w:style w:type="character" w:customStyle="1" w:styleId="ab">
    <w:name w:val="Таблица ГП Знак"/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character" w:customStyle="1" w:styleId="ListLabel15">
    <w:name w:val="ListLabel 15"/>
    <w:rPr>
      <w:rFonts w:cs="OpenSymbol"/>
      <w:sz w:val="20"/>
      <w:szCs w:val="24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  <w:sz w:val="24"/>
      <w:szCs w:val="29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#P19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#P19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P1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#P284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#P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555</cp:lastModifiedBy>
  <cp:revision>1</cp:revision>
  <cp:lastPrinted>2018-11-20T03:28:00Z</cp:lastPrinted>
  <dcterms:created xsi:type="dcterms:W3CDTF">2018-11-23T11:03:00Z</dcterms:created>
  <dcterms:modified xsi:type="dcterms:W3CDTF">2018-12-21T10:43:00Z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