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AB" w:rsidRDefault="008B5806">
      <w:pPr>
        <w:pStyle w:val="Standard"/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704840" cy="4414320"/>
            <wp:effectExtent l="0" t="0" r="510" b="5280"/>
            <wp:wrapSquare wrapText="bothSides"/>
            <wp:docPr id="1" name="06 КГЗ и ЗсОУИТ пос. Залесовски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4840" cy="44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Приложение № 3</w:t>
      </w:r>
    </w:p>
    <w:p w:rsidR="000F52AB" w:rsidRDefault="008B5806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 запрос о предоставлении сведений из Правил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землепользования и застройки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Колташевского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сельсовета Кетовского района Курганской области для земельного участка площадью 1000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., с кадастровым номером 45:08:013001:1586 расположенном по адресу: Курганская область, Кетовский район, п.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Залесовский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, ул.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Луговая, 2 сообщаем:</w:t>
      </w:r>
    </w:p>
    <w:p w:rsidR="000F52AB" w:rsidRDefault="000F52A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F52AB" w:rsidRDefault="008B5806">
      <w:pPr>
        <w:pStyle w:val="Standard"/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оторого градостроительный регламент не устанавливается.</w:t>
      </w:r>
    </w:p>
    <w:p w:rsidR="000F52AB" w:rsidRDefault="000F52AB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0F52AB" w:rsidRDefault="008B5806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0F52AB" w:rsidRDefault="008B5806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Ж-1</w:t>
      </w:r>
    </w:p>
    <w:p w:rsidR="000F52AB" w:rsidRDefault="000F52AB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2AB" w:rsidRDefault="008B580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Из правил землепользования и застройки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Колташевского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сельсовета Кетовского района Курганской области:</w:t>
      </w:r>
    </w:p>
    <w:p w:rsidR="000F52AB" w:rsidRDefault="000F52A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F52AB" w:rsidRDefault="008B5806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outlineLvl w:val="2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48.1.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ab/>
        <w:t>Зона индивидуальной жилой застройки и личного подсобного хозяйства (Ж-1)</w:t>
      </w:r>
    </w:p>
    <w:p w:rsidR="000F52AB" w:rsidRDefault="008B5806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outlineLvl w:val="2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ab/>
        <w:t>Основные виды разрешенного использования</w:t>
      </w:r>
    </w:p>
    <w:p w:rsidR="000F52AB" w:rsidRDefault="008B5806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jc w:val="right"/>
        <w:outlineLvl w:val="2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Таблица 2</w:t>
      </w:r>
    </w:p>
    <w:tbl>
      <w:tblPr>
        <w:tblW w:w="9133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3544"/>
        <w:gridCol w:w="2836"/>
      </w:tblGrid>
      <w:tr w:rsidR="000F52AB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before="135" w:after="0" w:line="240" w:lineRule="auto"/>
              <w:ind w:left="667" w:right="364" w:hanging="27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Виды разрешенного использования</w:t>
            </w: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374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земельных участков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before="7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after="0" w:line="192" w:lineRule="auto"/>
              <w:ind w:left="316" w:firstLine="153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before="2" w:after="0" w:line="276" w:lineRule="exact"/>
              <w:ind w:left="122" w:right="108" w:hanging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Параметры разрешенного строительства и использования земельных участков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107" w:right="13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 индивидуального жилищного строительства (код 2.1)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Индивидуальный жилой дом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tabs>
                <w:tab w:val="left" w:pos="2094"/>
              </w:tabs>
              <w:spacing w:after="0" w:line="240" w:lineRule="auto"/>
              <w:ind w:left="110" w:right="9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Дом, пригодный для постоянного проживания, высотой не выше трех этажей. Максимальный процент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застройки земельного участка - 30%, другие параметры</w:t>
            </w:r>
            <w:r>
              <w:rPr>
                <w:rFonts w:ascii="Times New Roman" w:eastAsia="Times New Roman" w:hAnsi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0F52AB" w:rsidRDefault="008B5806">
            <w:pPr>
              <w:pStyle w:val="Standard"/>
              <w:widowControl w:val="0"/>
              <w:spacing w:after="0" w:line="264" w:lineRule="exact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таблице 60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2207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107" w:right="9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 ведения личного подсобного хозяйства (код 2.2)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before="221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Жилой дом, не предназначенный для раздела на квартиры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tabs>
                <w:tab w:val="left" w:pos="2094"/>
              </w:tabs>
              <w:spacing w:after="0" w:line="240" w:lineRule="auto"/>
              <w:ind w:left="110" w:right="9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Дом, пригодный для постоянного проживания, высотой не выше трех этажей.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Максимальный процент застройки земельного участка -</w:t>
            </w:r>
            <w:r>
              <w:rPr>
                <w:rFonts w:ascii="Times New Roman" w:eastAsia="Times New Roman" w:hAnsi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30%,</w:t>
            </w:r>
          </w:p>
          <w:p w:rsidR="000F52AB" w:rsidRDefault="008B5806">
            <w:pPr>
              <w:pStyle w:val="Standard"/>
              <w:widowControl w:val="0"/>
              <w:spacing w:after="0" w:line="270" w:lineRule="atLeast"/>
              <w:ind w:left="110" w:right="9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другие параметры в таблице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60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before="222" w:after="0" w:line="240" w:lineRule="auto"/>
              <w:ind w:left="107" w:right="592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Блокированная жилая застройка</w:t>
            </w: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10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(код 2.3)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before="199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Блокированные жилые дома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tabs>
                <w:tab w:val="left" w:pos="2094"/>
              </w:tabs>
              <w:spacing w:after="0" w:line="240" w:lineRule="auto"/>
              <w:ind w:left="110" w:right="9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Этажность – не выше 3-х этажей. Блокированные двухквартирные жилые дома, состоящие из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двух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>блоков.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Максимальный процент застройки земельного участка - 30% на один блок,</w:t>
            </w:r>
            <w:r>
              <w:rPr>
                <w:rFonts w:ascii="Times New Roman" w:eastAsia="Times New Roman" w:hAnsi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другие</w:t>
            </w:r>
          </w:p>
          <w:p w:rsidR="000F52AB" w:rsidRDefault="008B5806">
            <w:pPr>
              <w:pStyle w:val="Standard"/>
              <w:widowControl w:val="0"/>
              <w:spacing w:after="0" w:line="264" w:lineRule="exact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параметры в таблице 60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4140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107" w:right="59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Обслуживание жилой застройки (код 2.7)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tabs>
                <w:tab w:val="left" w:pos="2494"/>
                <w:tab w:val="left" w:pos="3461"/>
              </w:tabs>
              <w:spacing w:after="0" w:line="240" w:lineRule="auto"/>
              <w:ind w:left="110" w:right="9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Объекты капитального строительства, размещение которых предусмотрено видами разрешенного использования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кодами 3.1 (коммунальное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обсл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живание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), 3.4 (здравоохранение), 3.4.1 (амбулаторно-поликлиническое обслужи-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), 3.10.1 (амбулаторное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ветери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нарное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обслуживание), 4.7 (гостиничное обслуживание), если их размещение связано с удовлетворением повседневны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х потребностей жителей, не причиняет вреда окружающей среде и санитарному благополучию,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причиняет</w:t>
            </w:r>
          </w:p>
          <w:p w:rsidR="000F52AB" w:rsidRDefault="008B5806">
            <w:pPr>
              <w:pStyle w:val="Standard"/>
              <w:widowControl w:val="0"/>
              <w:spacing w:after="0" w:line="270" w:lineRule="atLeast"/>
              <w:ind w:left="110" w:right="9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существенного неудобства жителям, не требует установления санитарной зоны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0F52AB">
            <w:pPr>
              <w:pStyle w:val="Standard"/>
              <w:widowControl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Таблица 60, 61</w:t>
            </w:r>
          </w:p>
        </w:tc>
      </w:tr>
    </w:tbl>
    <w:p w:rsidR="000F52AB" w:rsidRDefault="008B5806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outlineLvl w:val="2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- В основных видах использования из разрешенных пунктом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3.3 Классификатора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предусматриваетсятолько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размещение бань для индивидуального пользования</w:t>
      </w:r>
    </w:p>
    <w:p w:rsidR="000F52AB" w:rsidRDefault="000F52A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F52AB" w:rsidRDefault="008B5806">
      <w:pPr>
        <w:pStyle w:val="Standard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705200" cy="4414680"/>
            <wp:effectExtent l="0" t="0" r="150" b="49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200" cy="4414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52AB" w:rsidRDefault="008B5806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0F52AB" w:rsidRDefault="000F52AB">
      <w:pPr>
        <w:pStyle w:val="Standard"/>
        <w:spacing w:after="0" w:line="240" w:lineRule="auto"/>
        <w:ind w:left="4320" w:firstLine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0F52AB" w:rsidRDefault="008B5806">
      <w:pPr>
        <w:pStyle w:val="Standard"/>
        <w:widowControl w:val="0"/>
        <w:numPr>
          <w:ilvl w:val="0"/>
          <w:numId w:val="7"/>
        </w:numPr>
        <w:tabs>
          <w:tab w:val="left" w:pos="483"/>
        </w:tabs>
        <w:spacing w:before="91" w:after="0" w:line="297" w:lineRule="exact"/>
      </w:pPr>
      <w:r>
        <w:rPr>
          <w:rFonts w:ascii="Times New Roman" w:hAnsi="Times New Roman"/>
          <w:spacing w:val="-5"/>
          <w:sz w:val="24"/>
          <w:lang w:eastAsia="ru-RU"/>
        </w:rPr>
        <w:t xml:space="preserve">Условно </w:t>
      </w:r>
      <w:r>
        <w:rPr>
          <w:rFonts w:ascii="Times New Roman" w:hAnsi="Times New Roman"/>
          <w:sz w:val="24"/>
          <w:lang w:eastAsia="ru-RU"/>
        </w:rPr>
        <w:t>разрешенные виды</w:t>
      </w:r>
      <w:r>
        <w:rPr>
          <w:rFonts w:ascii="Times New Roman" w:hAnsi="Times New Roman"/>
          <w:spacing w:val="2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использования</w:t>
      </w:r>
    </w:p>
    <w:p w:rsidR="000F52AB" w:rsidRDefault="008B5806">
      <w:pPr>
        <w:pStyle w:val="Standard"/>
        <w:spacing w:after="8" w:line="274" w:lineRule="exact"/>
        <w:ind w:right="282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0F52AB" w:rsidRDefault="000F52AB">
      <w:pPr>
        <w:pStyle w:val="Standard"/>
        <w:spacing w:after="8" w:line="274" w:lineRule="exact"/>
        <w:ind w:right="28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75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3543"/>
        <w:gridCol w:w="2979"/>
      </w:tblGrid>
      <w:tr w:rsidR="000F52AB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before="136" w:after="0" w:line="240" w:lineRule="auto"/>
              <w:ind w:left="667" w:right="364" w:hanging="27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Виды разрешенного использования</w:t>
            </w: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374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земельных участков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after="0" w:line="187" w:lineRule="auto"/>
              <w:ind w:left="316" w:firstLine="153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40" w:lineRule="auto"/>
              <w:ind w:left="122" w:right="1076" w:hanging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Параметры разрешенного строительств и использования земельных участков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before="4" w:after="0" w:line="240" w:lineRule="auto"/>
              <w:rPr>
                <w:rFonts w:ascii="Times New Roman" w:eastAsia="Times New Roman" w:hAnsi="Times New Roman"/>
                <w:sz w:val="35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107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Магазины (код 4.4)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tabs>
                <w:tab w:val="left" w:pos="1385"/>
                <w:tab w:val="left" w:pos="3028"/>
              </w:tabs>
              <w:spacing w:after="0" w:line="240" w:lineRule="auto"/>
              <w:ind w:left="110" w:right="9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Объекты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капитального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строительства, предназначенные для продажи</w:t>
            </w:r>
            <w:r>
              <w:rPr>
                <w:rFonts w:ascii="Times New Roman" w:eastAsia="Times New Roman" w:hAnsi="Times New Roman"/>
                <w:spacing w:val="-5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товаров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40" w:lineRule="auto"/>
              <w:ind w:left="143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Ограничение торговой площади магазинов в сельской жилой застройке</w:t>
            </w:r>
          </w:p>
          <w:p w:rsidR="000F52AB" w:rsidRDefault="008B5806">
            <w:pPr>
              <w:pStyle w:val="Standard"/>
              <w:widowControl w:val="0"/>
              <w:spacing w:after="0" w:line="266" w:lineRule="exact"/>
              <w:ind w:left="143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до 50 кв. м</w:t>
            </w:r>
          </w:p>
        </w:tc>
      </w:tr>
    </w:tbl>
    <w:p w:rsidR="000F52AB" w:rsidRDefault="000F52AB">
      <w:pPr>
        <w:pStyle w:val="Standard"/>
        <w:widowControl w:val="0"/>
        <w:tabs>
          <w:tab w:val="left" w:pos="888"/>
        </w:tabs>
        <w:spacing w:before="89" w:after="0" w:line="296" w:lineRule="exact"/>
        <w:ind w:left="405"/>
        <w:rPr>
          <w:rFonts w:ascii="Times New Roman" w:hAnsi="Times New Roman"/>
          <w:sz w:val="24"/>
          <w:lang w:eastAsia="ru-RU"/>
        </w:rPr>
      </w:pPr>
    </w:p>
    <w:p w:rsidR="000F52AB" w:rsidRDefault="008B5806">
      <w:pPr>
        <w:pStyle w:val="Standard"/>
        <w:widowControl w:val="0"/>
        <w:numPr>
          <w:ilvl w:val="0"/>
          <w:numId w:val="7"/>
        </w:numPr>
        <w:tabs>
          <w:tab w:val="left" w:pos="483"/>
        </w:tabs>
        <w:spacing w:before="89" w:after="0" w:line="296" w:lineRule="exact"/>
      </w:pPr>
      <w:r>
        <w:rPr>
          <w:rFonts w:ascii="Times New Roman" w:hAnsi="Times New Roman"/>
          <w:sz w:val="24"/>
          <w:lang w:eastAsia="ru-RU"/>
        </w:rPr>
        <w:t>Вспомогательные виды разрешенного</w:t>
      </w:r>
      <w:r>
        <w:rPr>
          <w:rFonts w:ascii="Times New Roman" w:hAnsi="Times New Roman"/>
          <w:spacing w:val="-4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использования</w:t>
      </w:r>
    </w:p>
    <w:p w:rsidR="000F52AB" w:rsidRDefault="008B5806">
      <w:pPr>
        <w:pStyle w:val="Standard"/>
        <w:spacing w:after="8" w:line="273" w:lineRule="exact"/>
        <w:ind w:right="282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p w:rsidR="000F52AB" w:rsidRDefault="000F52AB">
      <w:pPr>
        <w:pStyle w:val="Standard"/>
        <w:spacing w:after="8" w:line="273" w:lineRule="exact"/>
        <w:ind w:right="28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75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3543"/>
        <w:gridCol w:w="2979"/>
      </w:tblGrid>
      <w:tr w:rsidR="000F52AB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before="135" w:after="0" w:line="240" w:lineRule="auto"/>
              <w:ind w:left="667" w:right="364" w:hanging="276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Виды разрешенного использования</w:t>
            </w:r>
          </w:p>
          <w:p w:rsidR="000F52AB" w:rsidRDefault="008B5806">
            <w:pPr>
              <w:pStyle w:val="Standard"/>
              <w:widowControl w:val="0"/>
              <w:spacing w:before="1" w:after="0" w:line="240" w:lineRule="auto"/>
              <w:ind w:left="374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земельных участков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after="0" w:line="187" w:lineRule="auto"/>
              <w:ind w:left="316" w:firstLine="153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40" w:lineRule="auto"/>
              <w:ind w:left="122" w:right="108" w:hanging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Параметры разрешенного строительства и</w:t>
            </w:r>
          </w:p>
          <w:p w:rsidR="000F52AB" w:rsidRDefault="008B5806">
            <w:pPr>
              <w:pStyle w:val="Standard"/>
              <w:widowControl w:val="0"/>
              <w:spacing w:after="0" w:line="276" w:lineRule="exact"/>
              <w:ind w:left="14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использования земельных участков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36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107" w:right="13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lastRenderedPageBreak/>
              <w:t xml:space="preserve">Для индивидуального жилищного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строительства (код 2.1)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58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lastRenderedPageBreak/>
              <w:t>Индивидуальный гараж</w:t>
            </w:r>
          </w:p>
        </w:tc>
        <w:tc>
          <w:tcPr>
            <w:tcW w:w="2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tabs>
                <w:tab w:val="left" w:pos="2366"/>
                <w:tab w:val="left" w:pos="2920"/>
              </w:tabs>
              <w:spacing w:before="3" w:after="0" w:line="270" w:lineRule="atLeast"/>
              <w:ind w:left="143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Предельные параметры в таблице 61.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Водоотвод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lastRenderedPageBreak/>
              <w:t>крыш объектов должен осуществляться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на земельный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 xml:space="preserve">участок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собственника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Подсобные сооружения</w:t>
            </w:r>
          </w:p>
        </w:tc>
        <w:tc>
          <w:tcPr>
            <w:tcW w:w="2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40" w:lineRule="auto"/>
              <w:ind w:left="110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Выращивание плодовых, ягодных, овощных, бахчевых или иных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декоративных или сельскохозяйственных</w:t>
            </w:r>
          </w:p>
          <w:p w:rsidR="000F52AB" w:rsidRDefault="008B5806">
            <w:pPr>
              <w:pStyle w:val="Standard"/>
              <w:widowControl w:val="0"/>
              <w:spacing w:after="0" w:line="264" w:lineRule="exact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культур</w:t>
            </w:r>
          </w:p>
        </w:tc>
        <w:tc>
          <w:tcPr>
            <w:tcW w:w="2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Гараж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before="6" w:after="0" w:line="250" w:lineRule="exact"/>
              <w:ind w:left="143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Предельные параметры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в</w:t>
            </w:r>
            <w:proofErr w:type="gramEnd"/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75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before="135" w:after="0" w:line="240" w:lineRule="auto"/>
              <w:ind w:left="107" w:right="9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Для ведения личного подсобного хозяйства (код 2.2)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Иные вспомогательные сооружения</w:t>
            </w:r>
          </w:p>
        </w:tc>
        <w:tc>
          <w:tcPr>
            <w:tcW w:w="297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tabs>
                <w:tab w:val="left" w:pos="2366"/>
                <w:tab w:val="left" w:pos="2920"/>
              </w:tabs>
              <w:spacing w:after="0" w:line="240" w:lineRule="auto"/>
              <w:ind w:left="143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таблице 61.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Водоотвод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 крыш объектов должен осуществляться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на земельный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 xml:space="preserve">участок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собственника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tabs>
                <w:tab w:val="left" w:pos="2244"/>
              </w:tabs>
              <w:spacing w:after="0" w:line="268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Производство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сельскохозяйственной</w:t>
            </w:r>
            <w:proofErr w:type="gramEnd"/>
          </w:p>
          <w:p w:rsidR="000F52AB" w:rsidRDefault="008B5806">
            <w:pPr>
              <w:pStyle w:val="Standard"/>
              <w:widowControl w:val="0"/>
              <w:spacing w:after="0" w:line="264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продукции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7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tabs>
                <w:tab w:val="left" w:pos="2211"/>
              </w:tabs>
              <w:spacing w:after="0" w:line="270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Содержание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сельскохозяйственных</w:t>
            </w:r>
            <w:proofErr w:type="gramEnd"/>
          </w:p>
          <w:p w:rsidR="000F52AB" w:rsidRDefault="008B5806">
            <w:pPr>
              <w:pStyle w:val="Standard"/>
              <w:widowControl w:val="0"/>
              <w:spacing w:after="0" w:line="264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животных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before="109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Индивидуальный гараж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48" w:lineRule="exact"/>
              <w:ind w:left="143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Предельные параметры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в</w:t>
            </w:r>
            <w:proofErr w:type="gramEnd"/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5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before="129" w:after="0" w:line="240" w:lineRule="auto"/>
              <w:ind w:left="107" w:right="592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Блокированная жилая застройка</w:t>
            </w: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107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(код 2.3)</w:t>
            </w: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297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tabs>
                <w:tab w:val="left" w:pos="1176"/>
                <w:tab w:val="left" w:pos="2400"/>
              </w:tabs>
              <w:spacing w:after="0" w:line="240" w:lineRule="auto"/>
              <w:ind w:left="143" w:right="9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таблице 61.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Водоотвод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с крыш объектов </w:t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>должен</w:t>
            </w:r>
          </w:p>
          <w:p w:rsidR="000F52AB" w:rsidRDefault="008B5806">
            <w:pPr>
              <w:pStyle w:val="Standard"/>
              <w:widowControl w:val="0"/>
              <w:tabs>
                <w:tab w:val="left" w:pos="2366"/>
                <w:tab w:val="left" w:pos="2920"/>
              </w:tabs>
              <w:spacing w:after="0" w:line="270" w:lineRule="atLeast"/>
              <w:ind w:left="143" w:right="9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осуществляться на земельный </w:t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>участок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75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before="140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Иные вспомогательные сооружения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5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54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Разведение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декоративных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и плодовых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7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деревьев, овощных и ягодных культур</w:t>
            </w:r>
          </w:p>
        </w:tc>
        <w:tc>
          <w:tcPr>
            <w:tcW w:w="29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56" w:lineRule="exact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собственника</w:t>
            </w:r>
          </w:p>
        </w:tc>
      </w:tr>
    </w:tbl>
    <w:p w:rsidR="000F52AB" w:rsidRDefault="000F52AB">
      <w:pPr>
        <w:pStyle w:val="Standard"/>
        <w:widowControl w:val="0"/>
        <w:spacing w:after="0" w:line="100" w:lineRule="atLeast"/>
        <w:ind w:firstLine="68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F52AB" w:rsidRDefault="008B5806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Дополнительные нормируемые параметры использования земельных участков (для зон Ж-1 и Ж-2):</w:t>
      </w:r>
    </w:p>
    <w:p w:rsidR="000F52AB" w:rsidRDefault="008B5806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При проектировании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территории малоэтажной жилой застройки следует принимать следующие расстояния:</w:t>
      </w:r>
    </w:p>
    <w:p w:rsidR="000F52AB" w:rsidRDefault="008B5806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внешних стен индивидуального или блокированного жилого дома до красной линии улицы следует принимать не менее 5 м (от красной линии проезда – не менее 3 м), до ограждения у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частка следует принимать не менее 4,5 м, со стороны вводов инженерных сетей при организации колодцев на территории участка – не менее 6 м;</w:t>
      </w:r>
    </w:p>
    <w:p w:rsidR="000F52AB" w:rsidRDefault="008B5806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края лесопаркового массива до границ ближних участков жилой застройки – не менее 30 м.</w:t>
      </w:r>
    </w:p>
    <w:p w:rsidR="000F52AB" w:rsidRDefault="008B5806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До границы смежного зе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мельного участка расстояния по санитарно-гигиеническим условиям и в зависимости от степени огнестойкости должны быть не менее:</w:t>
      </w:r>
    </w:p>
    <w:p w:rsidR="000F52AB" w:rsidRDefault="008B5806">
      <w:pPr>
        <w:pStyle w:val="Standard"/>
        <w:widowControl w:val="0"/>
        <w:spacing w:after="0" w:line="100" w:lineRule="atLeast"/>
        <w:ind w:firstLine="567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индивидуального и блокированного (двухквартирного) жилого дома – 3 м;</w:t>
      </w:r>
    </w:p>
    <w:p w:rsidR="000F52AB" w:rsidRDefault="008B5806">
      <w:pPr>
        <w:pStyle w:val="Standard"/>
        <w:widowControl w:val="0"/>
        <w:spacing w:after="0" w:line="100" w:lineRule="atLeast"/>
        <w:ind w:firstLine="567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постройки для содержания скота и птицы – 4 м;</w:t>
      </w:r>
    </w:p>
    <w:p w:rsidR="000F52AB" w:rsidRDefault="008B5806">
      <w:pPr>
        <w:pStyle w:val="Standard"/>
        <w:widowControl w:val="0"/>
        <w:spacing w:after="0" w:line="100" w:lineRule="atLeast"/>
        <w:ind w:firstLine="567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 других построек (бани, автостоянки и др.) – 1 м;</w:t>
      </w:r>
    </w:p>
    <w:p w:rsidR="000F52AB" w:rsidRDefault="008B5806">
      <w:pPr>
        <w:pStyle w:val="Standard"/>
        <w:widowControl w:val="0"/>
        <w:spacing w:after="0" w:line="100" w:lineRule="atLeast"/>
        <w:ind w:firstLine="567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стволов высокорослых деревьев – 4 м;</w:t>
      </w:r>
    </w:p>
    <w:p w:rsidR="000F52AB" w:rsidRDefault="008B5806">
      <w:pPr>
        <w:pStyle w:val="Standard"/>
        <w:widowControl w:val="0"/>
        <w:spacing w:after="0" w:line="100" w:lineRule="atLeast"/>
        <w:ind w:firstLine="567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стволов среднерослых деревьев – 2 м;</w:t>
      </w:r>
    </w:p>
    <w:p w:rsidR="000F52AB" w:rsidRDefault="008B5806">
      <w:pPr>
        <w:pStyle w:val="Standard"/>
        <w:widowControl w:val="0"/>
        <w:spacing w:after="0" w:line="100" w:lineRule="atLeast"/>
        <w:ind w:firstLine="567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кустарника – 1 м.</w:t>
      </w:r>
    </w:p>
    <w:p w:rsidR="000F52AB" w:rsidRDefault="000F52AB">
      <w:pPr>
        <w:pStyle w:val="Standard"/>
        <w:widowControl w:val="0"/>
        <w:spacing w:after="0" w:line="100" w:lineRule="atLeast"/>
        <w:ind w:firstLine="68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F52AB" w:rsidRDefault="008B5806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 территориях с застройкой индивидуальными жилыми домами или блокированными (двухквартирными) жи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0F52AB" w:rsidRDefault="008B5806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Вид ограждения участка и его высота должны быть единообразным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и, как минимум, на протяжении одного квартала с обеих сторон улицы. Максимальная высота ограждений между смежными участками устанавливается не более 220 см, по красной линии не более 250 см.</w:t>
      </w:r>
    </w:p>
    <w:p w:rsidR="000F52AB" w:rsidRDefault="008B5806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>4)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Содержание скота и птицы на приусадебных участках допускается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только в районах усадебной застройки сельского типа с размером приусадебного участка не менее 0,1 га.</w:t>
      </w:r>
    </w:p>
    <w:p w:rsidR="000F52AB" w:rsidRDefault="008B5806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5)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Нахождение животных за пределами подворья без надзора запрещено. Владелец животных не должен допускать загрязнения навозом и пометом дворов и окружающе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й территории, а в случае загрязнения немедленно устранить его (убрать навоз и помет).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пространение запахов и попадание навозных стоков в почву. Навоз или компост подлежит утилизации методом внесения в почву. В случае невозможности использования на приусадебном участке всего объема навоза и помета Владелец обязан обеспечить  его вывоз в спец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Курганской области.</w:t>
      </w:r>
    </w:p>
    <w:p w:rsidR="000F52AB" w:rsidRDefault="008B5806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6)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При строительстве хозяйственных построек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для содержания и разведения животных 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менее указанных</w:t>
      </w:r>
      <w:proofErr w:type="gramEnd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 таблице:</w:t>
      </w:r>
    </w:p>
    <w:p w:rsidR="000F52AB" w:rsidRDefault="000F52AB">
      <w:pPr>
        <w:pStyle w:val="Standard"/>
        <w:widowControl w:val="0"/>
        <w:spacing w:after="0" w:line="100" w:lineRule="atLeast"/>
        <w:ind w:firstLine="68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F52AB" w:rsidRDefault="008B5806">
      <w:pPr>
        <w:pStyle w:val="Standard"/>
        <w:widowControl w:val="0"/>
        <w:spacing w:after="0" w:line="100" w:lineRule="atLeast"/>
        <w:ind w:firstLine="680"/>
        <w:jc w:val="right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Табли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ца 8</w:t>
      </w:r>
    </w:p>
    <w:p w:rsidR="000F52AB" w:rsidRDefault="000F52AB">
      <w:pPr>
        <w:pStyle w:val="Standard"/>
        <w:widowControl w:val="0"/>
        <w:spacing w:after="0" w:line="100" w:lineRule="atLeast"/>
        <w:ind w:firstLine="680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9587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1170"/>
        <w:gridCol w:w="116"/>
        <w:gridCol w:w="1769"/>
        <w:gridCol w:w="1124"/>
        <w:gridCol w:w="1286"/>
        <w:gridCol w:w="1124"/>
        <w:gridCol w:w="1449"/>
      </w:tblGrid>
      <w:tr w:rsidR="000F52AB">
        <w:tblPrEx>
          <w:tblCellMar>
            <w:top w:w="0" w:type="dxa"/>
            <w:bottom w:w="0" w:type="dxa"/>
          </w:tblCellMar>
        </w:tblPrEx>
        <w:trPr>
          <w:gridAfter w:val="6"/>
          <w:wAfter w:w="6053" w:type="dxa"/>
          <w:trHeight w:val="275"/>
        </w:trPr>
        <w:tc>
          <w:tcPr>
            <w:tcW w:w="13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before="145" w:after="0" w:line="240" w:lineRule="auto"/>
              <w:ind w:left="206" w:right="19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Нормативный разрыв, не менее, метров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56" w:lineRule="exact"/>
              <w:ind w:left="2905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Поголовье, голов, не более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3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11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129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свиньи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before="140" w:after="0" w:line="240" w:lineRule="auto"/>
              <w:ind w:left="118" w:right="89" w:firstLine="23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крупный рогатый скот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before="140" w:after="0" w:line="240" w:lineRule="auto"/>
              <w:ind w:left="202" w:right="157" w:hanging="7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овцы, козы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1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лошади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0F52AB">
            <w:pPr>
              <w:pStyle w:val="Standard"/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0F52AB" w:rsidRDefault="008B5806">
            <w:pPr>
              <w:pStyle w:val="Standard"/>
              <w:widowControl w:val="0"/>
              <w:spacing w:after="0" w:line="240" w:lineRule="auto"/>
              <w:ind w:left="12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птица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6" w:lineRule="exact"/>
              <w:ind w:left="284" w:right="676" w:firstLine="142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маточное поголовье основно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lastRenderedPageBreak/>
              <w:t>го стада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3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11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5806"/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55" w:lineRule="exact"/>
              <w:ind w:left="114" w:right="98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кролики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3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3" w:lineRule="exact"/>
              <w:ind w:left="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3" w:lineRule="exact"/>
              <w:ind w:right="78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3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3" w:lineRule="exact"/>
              <w:ind w:left="1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3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3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right="78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1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378" w:right="36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right="72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408" w:right="3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378" w:right="36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right="72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408" w:right="3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2AB" w:rsidRDefault="008B5806">
            <w:pPr>
              <w:pStyle w:val="Standard"/>
              <w:widowControl w:val="0"/>
              <w:spacing w:after="0" w:line="270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40</w:t>
            </w:r>
          </w:p>
        </w:tc>
      </w:tr>
    </w:tbl>
    <w:p w:rsidR="000F52AB" w:rsidRDefault="000F52AB">
      <w:pPr>
        <w:pStyle w:val="Standard"/>
        <w:spacing w:before="9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2AB" w:rsidRDefault="008B5806">
      <w:pPr>
        <w:pStyle w:val="Standard"/>
        <w:spacing w:before="91"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частке сельскохозяйственных животных либо вынести содержание превышающего предельную норму количества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пределы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населенного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регистрацией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владельца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личного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подсобного хозяйства в качестве индивидуального предпринимателя или крестьянского (фермерского) хозяйства</w:t>
      </w:r>
      <w:r>
        <w:rPr>
          <w:rFonts w:ascii="Arial" w:eastAsia="Times New Roman" w:hAnsi="Arial"/>
          <w:sz w:val="24"/>
          <w:szCs w:val="24"/>
          <w:lang w:eastAsia="ru-RU"/>
        </w:rPr>
        <w:t>.</w:t>
      </w:r>
      <w:proofErr w:type="gramEnd"/>
    </w:p>
    <w:p w:rsidR="000F52AB" w:rsidRDefault="000F52AB">
      <w:pPr>
        <w:pStyle w:val="Standard"/>
        <w:spacing w:before="91" w:after="0" w:line="240" w:lineRule="auto"/>
        <w:ind w:left="227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0F52AB" w:rsidRDefault="008B5806">
      <w:pPr>
        <w:pStyle w:val="Standard"/>
        <w:widowControl w:val="0"/>
        <w:numPr>
          <w:ilvl w:val="1"/>
          <w:numId w:val="14"/>
        </w:numPr>
        <w:tabs>
          <w:tab w:val="left" w:pos="1213"/>
        </w:tabs>
        <w:spacing w:after="0" w:line="240" w:lineRule="auto"/>
        <w:ind w:right="286" w:firstLine="936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На территории с застройкой индивидуальными и блокированными жилыми</w:t>
      </w:r>
      <w:r>
        <w:rPr>
          <w:rFonts w:ascii="Times New Roman" w:hAnsi="Times New Roman"/>
          <w:sz w:val="24"/>
          <w:lang w:eastAsia="ru-RU"/>
        </w:rPr>
        <w:t xml:space="preserve"> домами стоянки автомобилей следует размещать в пределах отведённого участка. </w:t>
      </w:r>
      <w:r>
        <w:rPr>
          <w:rFonts w:ascii="Times New Roman" w:hAnsi="Times New Roman"/>
          <w:sz w:val="24"/>
          <w:szCs w:val="24"/>
          <w:lang w:eastAsia="ru-RU"/>
        </w:rPr>
        <w:t>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</w:t>
      </w:r>
      <w:r>
        <w:rPr>
          <w:rFonts w:ascii="Times New Roman" w:hAnsi="Times New Roman"/>
          <w:sz w:val="24"/>
          <w:szCs w:val="24"/>
          <w:lang w:eastAsia="ru-RU"/>
        </w:rPr>
        <w:t xml:space="preserve"> тонн (п.90 Региональные нормативы Курганской области).</w:t>
      </w:r>
    </w:p>
    <w:p w:rsidR="000F52AB" w:rsidRDefault="000F52AB">
      <w:pPr>
        <w:pStyle w:val="Standard"/>
        <w:widowControl w:val="0"/>
        <w:tabs>
          <w:tab w:val="left" w:pos="2149"/>
        </w:tabs>
        <w:spacing w:after="0" w:line="240" w:lineRule="auto"/>
        <w:ind w:left="936" w:right="286"/>
        <w:jc w:val="both"/>
        <w:rPr>
          <w:rFonts w:ascii="Times New Roman" w:hAnsi="Times New Roman"/>
          <w:sz w:val="24"/>
          <w:lang w:eastAsia="ru-RU"/>
        </w:rPr>
      </w:pPr>
    </w:p>
    <w:p w:rsidR="000F52AB" w:rsidRDefault="000F52AB">
      <w:pPr>
        <w:pStyle w:val="Standard"/>
        <w:widowControl w:val="0"/>
        <w:tabs>
          <w:tab w:val="left" w:pos="2149"/>
        </w:tabs>
        <w:spacing w:after="0" w:line="240" w:lineRule="auto"/>
        <w:ind w:left="936" w:right="286"/>
        <w:jc w:val="both"/>
        <w:rPr>
          <w:rFonts w:ascii="Times New Roman" w:hAnsi="Times New Roman"/>
          <w:sz w:val="24"/>
          <w:lang w:eastAsia="ru-RU"/>
        </w:rPr>
      </w:pPr>
    </w:p>
    <w:p w:rsidR="000F52AB" w:rsidRDefault="000F52AB">
      <w:pPr>
        <w:pStyle w:val="Standard"/>
        <w:widowControl w:val="0"/>
        <w:tabs>
          <w:tab w:val="left" w:pos="2149"/>
        </w:tabs>
        <w:spacing w:after="0" w:line="240" w:lineRule="auto"/>
        <w:ind w:left="936" w:right="286"/>
        <w:jc w:val="both"/>
        <w:rPr>
          <w:rFonts w:ascii="Times New Roman" w:hAnsi="Times New Roman"/>
          <w:sz w:val="24"/>
          <w:lang w:eastAsia="ru-RU"/>
        </w:rPr>
      </w:pPr>
    </w:p>
    <w:p w:rsidR="000F52AB" w:rsidRDefault="008B5806">
      <w:pPr>
        <w:pStyle w:val="Standard"/>
        <w:widowControl w:val="0"/>
        <w:tabs>
          <w:tab w:val="left" w:pos="0"/>
        </w:tabs>
        <w:spacing w:after="0" w:line="100" w:lineRule="atLeast"/>
        <w:jc w:val="right"/>
      </w:pPr>
      <w:proofErr w:type="spellStart"/>
      <w:r>
        <w:rPr>
          <w:rFonts w:ascii="Times New Roman" w:eastAsia="Times New Roman" w:hAnsi="Times New Roman"/>
          <w:sz w:val="24"/>
          <w:szCs w:val="24"/>
          <w:lang w:val="en-GB" w:eastAsia="ru-RU"/>
        </w:rPr>
        <w:t>Таблица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tbl>
      <w:tblPr>
        <w:tblW w:w="9696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738"/>
        <w:gridCol w:w="621"/>
        <w:gridCol w:w="511"/>
        <w:gridCol w:w="111"/>
        <w:gridCol w:w="621"/>
        <w:gridCol w:w="778"/>
        <w:gridCol w:w="621"/>
        <w:gridCol w:w="777"/>
        <w:gridCol w:w="469"/>
        <w:gridCol w:w="1241"/>
        <w:gridCol w:w="777"/>
        <w:gridCol w:w="777"/>
        <w:gridCol w:w="622"/>
        <w:gridCol w:w="777"/>
      </w:tblGrid>
      <w:tr w:rsidR="000F52AB">
        <w:tblPrEx>
          <w:tblCellMar>
            <w:top w:w="0" w:type="dxa"/>
            <w:bottom w:w="0" w:type="dxa"/>
          </w:tblCellMar>
        </w:tblPrEx>
        <w:trPr>
          <w:gridAfter w:val="11"/>
          <w:wAfter w:w="6900" w:type="dxa"/>
          <w:tblHeader/>
        </w:trPr>
        <w:tc>
          <w:tcPr>
            <w:tcW w:w="233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103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Градостроительные регламенты территориальных зон, функциональные зоны для которых градо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строительные регламенты не устанавливаются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B5806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B5806"/>
        </w:tc>
        <w:tc>
          <w:tcPr>
            <w:tcW w:w="411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82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0F52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B5806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B5806"/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площадь земельных участков,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площадь земельных участков,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Максимальная ширина земельных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участков, (м)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длина земельных 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участков, (м)</w:t>
            </w:r>
          </w:p>
        </w:tc>
        <w:tc>
          <w:tcPr>
            <w:tcW w:w="42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131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2AB" w:rsidRDefault="008B5806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Минимальные отступы от границ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-х участков в целях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определе-ния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мест допустимого размещения зданий, строений, сооружений, 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Минимальное количество надземных этажей зданий, строений, сооружений, (ед.)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зданий, строений, сооружений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2AB" w:rsidRDefault="008B5806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застройки в границах земельно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участка*, (процент)</w:t>
            </w:r>
          </w:p>
        </w:tc>
      </w:tr>
      <w:tr w:rsidR="000F52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3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0F52AB">
            <w:pPr>
              <w:pStyle w:val="Standard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widowControl w:val="0"/>
              <w:spacing w:after="0" w:line="240" w:lineRule="auto"/>
              <w:ind w:left="28" w:right="28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Ж-1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2AB" w:rsidRDefault="008B58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0F52AB" w:rsidRDefault="000F52AB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52AB" w:rsidRDefault="008B580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0F52AB" w:rsidRDefault="008B5806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* без учета эксплуатируемой кровли подземных, подвальных, цокольных частей объектов</w:t>
      </w:r>
    </w:p>
    <w:p w:rsidR="000F52AB" w:rsidRDefault="008B5806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 xml:space="preserve">НПУ-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GB" w:eastAsia="ru-RU"/>
        </w:rPr>
        <w:t>не</w:t>
      </w:r>
      <w:proofErr w:type="spellEnd"/>
      <w:r>
        <w:rPr>
          <w:rFonts w:ascii="Times New Roman" w:eastAsia="Times New Roman" w:hAnsi="Times New Roman"/>
          <w:sz w:val="20"/>
          <w:szCs w:val="20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GB" w:eastAsia="ru-RU"/>
        </w:rPr>
        <w:t>подлежат</w:t>
      </w:r>
      <w:proofErr w:type="spellEnd"/>
      <w:r>
        <w:rPr>
          <w:rFonts w:ascii="Times New Roman" w:eastAsia="Times New Roman" w:hAnsi="Times New Roman"/>
          <w:sz w:val="20"/>
          <w:szCs w:val="20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GB" w:eastAsia="ru-RU"/>
        </w:rPr>
        <w:t>установлен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</w:t>
      </w:r>
      <w:proofErr w:type="spellEnd"/>
    </w:p>
    <w:p w:rsidR="000F52AB" w:rsidRDefault="000F52AB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52AB" w:rsidRDefault="008B5806">
      <w:pPr>
        <w:pStyle w:val="Standard"/>
        <w:numPr>
          <w:ilvl w:val="0"/>
          <w:numId w:val="11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Реквизиты акта органа государственной власти субъекта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самоуправления, иной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</w:r>
      <w:proofErr w:type="gramEnd"/>
    </w:p>
    <w:p w:rsidR="000F52AB" w:rsidRDefault="000F52A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9"/>
      </w:tblGrid>
      <w:tr w:rsidR="000F52AB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0F52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34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49"/>
                  </w:tblGrid>
                  <w:tr w:rsidR="000F52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F52AB" w:rsidRDefault="008B5806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Решение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ташевской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сельской Думы от  20.05.2014 г. № 179.1</w:t>
                        </w:r>
                      </w:p>
                    </w:tc>
                  </w:tr>
                  <w:tr w:rsidR="000F52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F52AB" w:rsidRDefault="008B5806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  <w:proofErr w:type="gramEnd"/>
                      </w:p>
                    </w:tc>
                  </w:tr>
                  <w:tr w:rsidR="000F52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F52AB" w:rsidRDefault="008B5806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«Об утверждении Правил землепользования и  застройки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Колташевского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сельсовета Кетовского района Курганской области»</w:t>
                        </w:r>
                      </w:p>
                    </w:tc>
                  </w:tr>
                  <w:tr w:rsidR="000F52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F52AB" w:rsidRDefault="008B5806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реквизиты акта об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утверждении правил)</w:t>
                        </w:r>
                      </w:p>
                    </w:tc>
                  </w:tr>
                  <w:tr w:rsidR="000F52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F52AB" w:rsidRDefault="008B5806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Решение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Колташевской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сельской Думы от 15.11.2016 г. № 64</w:t>
                        </w:r>
                      </w:p>
                    </w:tc>
                  </w:tr>
                  <w:tr w:rsidR="000F52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F52AB" w:rsidRDefault="008B5806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  <w:proofErr w:type="gramEnd"/>
                      </w:p>
                    </w:tc>
                  </w:tr>
                  <w:tr w:rsidR="000F52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F52AB" w:rsidRDefault="008B5806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«О внесении изменений в Правила землепользования и застройки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Колташевского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сельсовета Кетовского района Курганск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ой области»</w:t>
                        </w:r>
                      </w:p>
                    </w:tc>
                  </w:tr>
                  <w:tr w:rsidR="000F52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F52AB" w:rsidRDefault="008B5806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  <w:tr w:rsidR="000F52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F52AB" w:rsidRDefault="008B5806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Решение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Колташевской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сельской Думы от 16.02.2017 г. № 72</w:t>
                        </w:r>
                      </w:p>
                    </w:tc>
                  </w:tr>
                  <w:tr w:rsidR="000F52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F52AB" w:rsidRDefault="008B5806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  <w:proofErr w:type="gramEnd"/>
                      </w:p>
                    </w:tc>
                  </w:tr>
                  <w:tr w:rsidR="000F52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F52AB" w:rsidRDefault="008B5806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«О внесении изменений в Правила землепользования и застройки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Колташевского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сельсовета Кетовского района Курганской области»</w:t>
                        </w:r>
                      </w:p>
                    </w:tc>
                  </w:tr>
                  <w:tr w:rsidR="000F52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F52AB" w:rsidRDefault="008B5806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</w:tbl>
                <w:p w:rsidR="000F52AB" w:rsidRDefault="000F52A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52AB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F52AB" w:rsidRDefault="008B5806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Решение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Колташевской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сельской Думы от 06.10.2017 г. № 86</w:t>
                  </w:r>
                </w:p>
              </w:tc>
            </w:tr>
            <w:tr w:rsidR="000F52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F52AB" w:rsidRDefault="008B5806">
                  <w:pPr>
                    <w:pStyle w:val="Standard"/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самоуправления,</w:t>
                  </w:r>
                  <w:proofErr w:type="gramEnd"/>
                </w:p>
              </w:tc>
            </w:tr>
            <w:tr w:rsidR="000F52AB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F52AB" w:rsidRDefault="008B5806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 изменений в Правила землепольз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ования и застройки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Колташевского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сельсовета Кетовского района Курганской области»</w:t>
                  </w:r>
                </w:p>
              </w:tc>
            </w:tr>
            <w:tr w:rsidR="000F52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F52AB" w:rsidRDefault="008B5806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  <w:tr w:rsidR="000F52AB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F52AB" w:rsidRDefault="008B5806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Решение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Колташевской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сельской Думы от 16.11.2017 г. № 93</w:t>
                  </w:r>
                </w:p>
              </w:tc>
            </w:tr>
            <w:tr w:rsidR="000F52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F52AB" w:rsidRDefault="008B5806">
                  <w:pPr>
                    <w:pStyle w:val="Standard"/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самоуправления,</w:t>
                  </w:r>
                  <w:proofErr w:type="gramEnd"/>
                </w:p>
              </w:tc>
            </w:tr>
            <w:tr w:rsidR="000F52AB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F52AB" w:rsidRDefault="008B5806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изменений в Правила землепользования и застройки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Колташевского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сельсовета Кетовского района Курганской области»</w:t>
                  </w:r>
                </w:p>
              </w:tc>
            </w:tr>
            <w:tr w:rsidR="000F52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F52AB" w:rsidRDefault="008B5806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0F52AB" w:rsidRDefault="000F52A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2AB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0F52AB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F52AB" w:rsidRDefault="008B5806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Решение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Колташевской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сельской Думы от 26.12.2017 г. № 101</w:t>
                  </w:r>
                </w:p>
              </w:tc>
            </w:tr>
            <w:tr w:rsidR="000F52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F52AB" w:rsidRDefault="008B5806">
                  <w:pPr>
                    <w:pStyle w:val="Standard"/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(наименование представительного органа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местного самоуправления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</w:p>
              </w:tc>
            </w:tr>
            <w:tr w:rsidR="000F52AB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F52AB" w:rsidRDefault="008B5806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«О внесении изменений в Правила землепользования и застройки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Колташевского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сельсовета Кетовского района Курганской области»</w:t>
                  </w:r>
                </w:p>
              </w:tc>
            </w:tr>
            <w:tr w:rsidR="000F52A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F52AB" w:rsidRDefault="008B5806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0F52AB" w:rsidRDefault="000F52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2AB" w:rsidRDefault="000F52A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2AB" w:rsidRDefault="000F52A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2AB" w:rsidRDefault="000F52A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2AB" w:rsidRDefault="008B580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0F52AB" w:rsidRDefault="008B580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С.С.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Влеско</w:t>
      </w:r>
      <w:proofErr w:type="spellEnd"/>
    </w:p>
    <w:p w:rsidR="000F52AB" w:rsidRDefault="000F52A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0F52A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F52AB" w:rsidRDefault="008B5806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0F52AB" w:rsidRDefault="008B580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(35231)2-37-17</w:t>
      </w:r>
    </w:p>
    <w:sectPr w:rsidR="000F52AB"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06" w:rsidRDefault="008B5806">
      <w:r>
        <w:separator/>
      </w:r>
    </w:p>
  </w:endnote>
  <w:endnote w:type="continuationSeparator" w:id="0">
    <w:p w:rsidR="008B5806" w:rsidRDefault="008B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06" w:rsidRDefault="008B5806">
      <w:r>
        <w:rPr>
          <w:color w:val="000000"/>
        </w:rPr>
        <w:separator/>
      </w:r>
    </w:p>
  </w:footnote>
  <w:footnote w:type="continuationSeparator" w:id="0">
    <w:p w:rsidR="008B5806" w:rsidRDefault="008B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D64"/>
    <w:multiLevelType w:val="multilevel"/>
    <w:tmpl w:val="85C0A36E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6047AE2"/>
    <w:multiLevelType w:val="multilevel"/>
    <w:tmpl w:val="F15AC644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155C1566"/>
    <w:multiLevelType w:val="multilevel"/>
    <w:tmpl w:val="57AE39A2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77D38B6"/>
    <w:multiLevelType w:val="multilevel"/>
    <w:tmpl w:val="D7D8F33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7C34679"/>
    <w:multiLevelType w:val="multilevel"/>
    <w:tmpl w:val="A8F2F80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CF93951"/>
    <w:multiLevelType w:val="multilevel"/>
    <w:tmpl w:val="4C32AB3A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E6D616B"/>
    <w:multiLevelType w:val="multilevel"/>
    <w:tmpl w:val="31143F16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255A1958"/>
    <w:multiLevelType w:val="multilevel"/>
    <w:tmpl w:val="F498185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65E0CC2"/>
    <w:multiLevelType w:val="multilevel"/>
    <w:tmpl w:val="559CA2CC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DCA56AB"/>
    <w:multiLevelType w:val="multilevel"/>
    <w:tmpl w:val="30942952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307C3A63"/>
    <w:multiLevelType w:val="multilevel"/>
    <w:tmpl w:val="3DF40EE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D7206C5"/>
    <w:multiLevelType w:val="multilevel"/>
    <w:tmpl w:val="DA5A2966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3E550C6E"/>
    <w:multiLevelType w:val="multilevel"/>
    <w:tmpl w:val="25824D6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41E95BB1"/>
    <w:multiLevelType w:val="multilevel"/>
    <w:tmpl w:val="C7080594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4F9F4E11"/>
    <w:multiLevelType w:val="multilevel"/>
    <w:tmpl w:val="696A7C30"/>
    <w:styleLink w:val="WWNum21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513E7B41"/>
    <w:multiLevelType w:val="multilevel"/>
    <w:tmpl w:val="64348034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5429035A"/>
    <w:multiLevelType w:val="multilevel"/>
    <w:tmpl w:val="66B6D122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57CA331C"/>
    <w:multiLevelType w:val="multilevel"/>
    <w:tmpl w:val="0FF203E6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5C6F5A92"/>
    <w:multiLevelType w:val="multilevel"/>
    <w:tmpl w:val="DF181D38"/>
    <w:styleLink w:val="WWNum23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5E617208"/>
    <w:multiLevelType w:val="multilevel"/>
    <w:tmpl w:val="B79A361C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0">
    <w:nsid w:val="60BF3DF4"/>
    <w:multiLevelType w:val="multilevel"/>
    <w:tmpl w:val="D72C329A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0D75501"/>
    <w:multiLevelType w:val="multilevel"/>
    <w:tmpl w:val="BC7C7108"/>
    <w:styleLink w:val="WWNum22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641675C9"/>
    <w:multiLevelType w:val="multilevel"/>
    <w:tmpl w:val="C6D09EB6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66272339"/>
    <w:multiLevelType w:val="multilevel"/>
    <w:tmpl w:val="E0EEB86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2"/>
  </w:num>
  <w:num w:numId="9">
    <w:abstractNumId w:val="12"/>
  </w:num>
  <w:num w:numId="10">
    <w:abstractNumId w:val="20"/>
  </w:num>
  <w:num w:numId="11">
    <w:abstractNumId w:val="23"/>
  </w:num>
  <w:num w:numId="12">
    <w:abstractNumId w:val="1"/>
  </w:num>
  <w:num w:numId="13">
    <w:abstractNumId w:val="16"/>
  </w:num>
  <w:num w:numId="14">
    <w:abstractNumId w:val="15"/>
  </w:num>
  <w:num w:numId="15">
    <w:abstractNumId w:val="22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0"/>
  </w:num>
  <w:num w:numId="21">
    <w:abstractNumId w:val="14"/>
  </w:num>
  <w:num w:numId="22">
    <w:abstractNumId w:val="21"/>
  </w:num>
  <w:num w:numId="23">
    <w:abstractNumId w:val="18"/>
  </w:num>
  <w:num w:numId="24">
    <w:abstractNumId w:val="8"/>
  </w:num>
  <w:num w:numId="25">
    <w:abstractNumId w:val="7"/>
    <w:lvlOverride w:ilvl="0">
      <w:startOverride w:val="1"/>
    </w:lvlOverride>
  </w:num>
  <w:num w:numId="26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52AB"/>
    <w:rsid w:val="000E763A"/>
    <w:rsid w:val="000F52AB"/>
    <w:rsid w:val="008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character" w:customStyle="1" w:styleId="a7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character" w:customStyle="1" w:styleId="a7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2018-10-24T05:04:00Z</cp:lastPrinted>
  <dcterms:created xsi:type="dcterms:W3CDTF">2018-10-24T05:15:00Z</dcterms:created>
  <dcterms:modified xsi:type="dcterms:W3CDTF">2018-12-19T03:03:00Z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